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2</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R1-250</w:t>
      </w:r>
      <w:r>
        <w:rPr>
          <w:rFonts w:hint="eastAsia" w:ascii="Arial" w:hAnsi="Arial" w:cs="Arial"/>
          <w:b/>
          <w:bCs/>
          <w:sz w:val="28"/>
          <w:szCs w:val="28"/>
          <w:lang w:val="en-US" w:eastAsia="zh-CN"/>
        </w:rPr>
        <w:t>5615</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Bengaluru, India, Aug 25</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-29</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2025</w:t>
      </w:r>
    </w:p>
    <w:p>
      <w:pPr>
        <w:pStyle w:val="25"/>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5"/>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e</w:t>
      </w:r>
      <w:r>
        <w:rPr>
          <w:rFonts w:hint="default" w:ascii="Arial" w:hAnsi="Arial" w:cs="Arial"/>
          <w:sz w:val="22"/>
          <w:szCs w:val="22"/>
          <w:lang w:val="en-US" w:eastAsia="zh-CN"/>
        </w:rPr>
        <w:t>valuation</w:t>
      </w:r>
      <w:r>
        <w:rPr>
          <w:rFonts w:hint="eastAsia" w:cs="Arial"/>
          <w:sz w:val="22"/>
          <w:szCs w:val="22"/>
          <w:lang w:val="en-US" w:eastAsia="zh-CN"/>
        </w:rPr>
        <w:t xml:space="preserve"> </w:t>
      </w:r>
      <w:r>
        <w:rPr>
          <w:rFonts w:hint="default" w:ascii="Arial" w:hAnsi="Arial" w:cs="Arial"/>
          <w:sz w:val="22"/>
          <w:szCs w:val="22"/>
          <w:lang w:val="en-US" w:eastAsia="zh-CN"/>
        </w:rPr>
        <w:t>for Ambient IoT</w:t>
      </w:r>
    </w:p>
    <w:p>
      <w:pPr>
        <w:pStyle w:val="25"/>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3</w:t>
      </w:r>
      <w:r>
        <w:rPr>
          <w:rFonts w:ascii="Arial" w:hAnsi="Arial" w:cs="Arial"/>
          <w:sz w:val="22"/>
          <w:szCs w:val="22"/>
          <w:lang w:eastAsia="zh-CN"/>
        </w:rPr>
        <w:t>.</w:t>
      </w:r>
      <w:r>
        <w:rPr>
          <w:rFonts w:hint="default" w:ascii="Arial" w:hAnsi="Arial" w:cs="Arial"/>
          <w:sz w:val="22"/>
          <w:szCs w:val="22"/>
          <w:lang w:val="en-US" w:eastAsia="zh-CN"/>
        </w:rPr>
        <w:t>1</w:t>
      </w:r>
    </w:p>
    <w:p>
      <w:pPr>
        <w:pStyle w:val="25"/>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0"/>
          <w:numId w:val="0"/>
        </w:numPr>
        <w:spacing w:before="0" w:beforeLines="50" w:after="0" w:afterLines="50" w:line="360" w:lineRule="auto"/>
        <w:jc w:val="both"/>
        <w:rPr>
          <w:rFonts w:hint="eastAsia" w:cs="Times New Roman"/>
          <w:sz w:val="20"/>
          <w:szCs w:val="20"/>
          <w:lang w:val="en-US" w:eastAsia="zh-CN"/>
        </w:rPr>
      </w:pPr>
      <w:r>
        <w:rPr>
          <w:rFonts w:hint="eastAsia" w:cs="Times New Roman"/>
          <w:sz w:val="20"/>
          <w:szCs w:val="20"/>
          <w:lang w:val="en-US" w:eastAsia="zh-CN"/>
        </w:rPr>
        <w:t>During the RAN#108 meeting, a new Rel-20 study item was approved, focusing on enhancements for Ambient IoT (Internet of Things) solutions in NR outdoor environments for active devices [1]. The key evaluation-related objectives of this study item include: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ascii="Times New Roman" w:hAnsi="Times New Roman" w:eastAsia="等线" w:cs="Times New Roman"/>
                <w:sz w:val="20"/>
                <w:szCs w:val="20"/>
                <w:u w:val="single"/>
                <w:lang w:eastAsia="en-GB"/>
              </w:rPr>
            </w:pPr>
            <w:r>
              <w:rPr>
                <w:rFonts w:hint="eastAsia" w:ascii="Times New Roman" w:hAnsi="Times New Roman" w:eastAsia="等线" w:cs="Times New Roman"/>
                <w:sz w:val="20"/>
                <w:szCs w:val="20"/>
                <w:u w:val="single"/>
                <w:lang w:eastAsia="en-GB"/>
              </w:rPr>
              <w:t>Objectives</w:t>
            </w:r>
          </w:p>
          <w:p>
            <w:pPr>
              <w:keepNext w:val="0"/>
              <w:keepLines w:val="0"/>
              <w:widowControl/>
              <w:numPr>
                <w:ilvl w:val="0"/>
                <w:numId w:val="3"/>
              </w:numPr>
              <w:suppressLineNumbers w:val="0"/>
              <w:overflowPunct w:val="0"/>
              <w:autoSpaceDE w:val="0"/>
              <w:autoSpaceDN w:val="0"/>
              <w:adjustRightInd w:val="0"/>
              <w:snapToGrid/>
              <w:spacing w:before="80" w:beforeAutospacing="0" w:after="80" w:afterAutospacing="0"/>
              <w:ind w:left="357" w:right="0" w:hanging="357" w:firstLineChars="0"/>
              <w:contextualSpacing/>
              <w:jc w:val="left"/>
              <w:textAlignment w:val="baseline"/>
              <w:rPr>
                <w:rFonts w:hint="eastAsia" w:ascii="Times New Roman" w:hAnsi="Times New Roman" w:eastAsia="等线" w:cs="Times New Roman"/>
                <w:sz w:val="20"/>
                <w:szCs w:val="20"/>
                <w:lang w:val="en-US" w:eastAsia="en-US" w:bidi="ar-SA"/>
              </w:rPr>
            </w:pPr>
            <w:r>
              <w:rPr>
                <w:rFonts w:hint="eastAsia" w:ascii="Times New Roman" w:hAnsi="Times New Roman" w:eastAsia="等线" w:cs="Times New Roman"/>
                <w:sz w:val="20"/>
                <w:szCs w:val="20"/>
                <w:lang w:val="en-US" w:eastAsia="en-US" w:bidi="ar-SA"/>
              </w:rPr>
              <w:t>Study necessary and feasible changes to the Rel-19 A-IoT specifications to support A-IoT in outdoor scenarios under the following conditions [RAN1-led]:</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left="1080" w:right="0" w:hanging="360"/>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Deployment scenario 4 with topology 1 with no external carrier wave.</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left="1080" w:right="0" w:hanging="360"/>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Traffic types DO-DTT, DT, DO-A.</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left="1080" w:right="0" w:hanging="360"/>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Representative use cases rUC5 (outdoor inventory), rUC6 (outdoor sensor), and rUC8 (outdoor command).</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left="1080" w:right="0" w:hanging="360"/>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Assumption that A-IoT BS readers are deployed on the same sites as existing outdoor NR macro BSs.</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left="1080" w:right="0" w:hanging="360"/>
              <w:textAlignment w:val="baseline"/>
              <w:rPr>
                <w:rFonts w:hint="eastAsia" w:ascii="Times New Roman" w:hAnsi="Times New Roman" w:eastAsia="等线" w:cs="Times New Roman"/>
                <w:color w:val="auto"/>
                <w:sz w:val="20"/>
                <w:szCs w:val="20"/>
                <w:lang w:eastAsia="en-GB"/>
              </w:rPr>
            </w:pPr>
            <w:r>
              <w:rPr>
                <w:rFonts w:hint="eastAsia" w:ascii="Times New Roman" w:hAnsi="Times New Roman" w:eastAsia="等线" w:cs="Times New Roman"/>
                <w:sz w:val="20"/>
                <w:szCs w:val="20"/>
                <w:lang w:eastAsia="en-GB"/>
              </w:rPr>
              <w:t>F</w:t>
            </w:r>
            <w:r>
              <w:rPr>
                <w:rFonts w:hint="eastAsia" w:ascii="Times New Roman" w:hAnsi="Times New Roman" w:eastAsia="等线" w:cs="Times New Roman"/>
                <w:color w:val="auto"/>
                <w:sz w:val="20"/>
                <w:szCs w:val="20"/>
                <w:lang w:eastAsia="en-GB"/>
              </w:rPr>
              <w:t>R1 licensed spectrum in FDD in-band to NR and in standalone bands, with R2D in DL spectrum and D2R in UL spectrum.</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left="1080" w:right="0" w:hanging="360"/>
              <w:textAlignment w:val="baseline"/>
              <w:rPr>
                <w:rFonts w:hint="eastAsia" w:ascii="Times New Roman" w:hAnsi="Times New Roman" w:eastAsia="等线" w:cs="Times New Roman"/>
                <w:color w:val="auto"/>
                <w:sz w:val="20"/>
                <w:szCs w:val="20"/>
                <w:lang w:eastAsia="en-GB"/>
              </w:rPr>
            </w:pPr>
            <w:r>
              <w:rPr>
                <w:rFonts w:hint="eastAsia" w:ascii="Times New Roman" w:hAnsi="Times New Roman" w:eastAsia="等线" w:cs="Times New Roman"/>
                <w:color w:val="auto"/>
                <w:sz w:val="20"/>
                <w:szCs w:val="20"/>
                <w:lang w:eastAsia="en-GB"/>
              </w:rPr>
              <w:t>Assumption of the same air interface for Device 2b and Device C.</w:t>
            </w:r>
          </w:p>
          <w:p>
            <w:pPr>
              <w:keepNext w:val="0"/>
              <w:keepLines w:val="0"/>
              <w:widowControl/>
              <w:numPr>
                <w:ilvl w:val="1"/>
                <w:numId w:val="4"/>
              </w:numPr>
              <w:suppressLineNumbers w:val="0"/>
              <w:overflowPunct w:val="0"/>
              <w:autoSpaceDE w:val="0"/>
              <w:autoSpaceDN w:val="0"/>
              <w:adjustRightInd w:val="0"/>
              <w:spacing w:before="80" w:beforeAutospacing="0" w:after="80" w:afterAutospacing="0"/>
              <w:ind w:left="1800" w:right="0" w:hanging="360"/>
              <w:textAlignment w:val="baseline"/>
              <w:rPr>
                <w:rFonts w:hint="eastAsia" w:ascii="Times New Roman" w:hAnsi="Times New Roman" w:eastAsia="等线" w:cs="Times New Roman"/>
                <w:color w:val="auto"/>
                <w:sz w:val="20"/>
                <w:szCs w:val="20"/>
                <w:lang w:eastAsia="en-GB"/>
              </w:rPr>
            </w:pPr>
            <w:bookmarkStart w:id="5" w:name="_Hlk200381346"/>
            <w:r>
              <w:rPr>
                <w:rFonts w:hint="eastAsia" w:ascii="Times New Roman" w:hAnsi="Times New Roman" w:eastAsia="等线" w:cs="Times New Roman"/>
                <w:color w:val="auto"/>
                <w:sz w:val="20"/>
                <w:szCs w:val="20"/>
                <w:lang w:eastAsia="en-GB"/>
              </w:rPr>
              <w:t>Take into account the aspects reported in Clause 6.10 “DO-A assessment” and Clause 6.1.1.7 “CFO calibration signal for device 2b” of TR 38.769</w:t>
            </w:r>
            <w:bookmarkEnd w:id="5"/>
          </w:p>
          <w:p>
            <w:pPr>
              <w:keepNext w:val="0"/>
              <w:keepLines w:val="0"/>
              <w:widowControl/>
              <w:numPr>
                <w:ilvl w:val="0"/>
                <w:numId w:val="4"/>
              </w:numPr>
              <w:suppressLineNumbers w:val="0"/>
              <w:overflowPunct w:val="0"/>
              <w:autoSpaceDE w:val="0"/>
              <w:autoSpaceDN w:val="0"/>
              <w:adjustRightInd w:val="0"/>
              <w:spacing w:before="80" w:beforeAutospacing="0" w:after="80" w:afterAutospacing="0"/>
              <w:ind w:left="1080" w:right="0" w:hanging="360"/>
              <w:textAlignment w:val="baseline"/>
              <w:rPr>
                <w:rFonts w:hint="eastAsia" w:ascii="Times New Roman" w:hAnsi="Times New Roman" w:eastAsia="等线" w:cs="Times New Roman"/>
                <w:color w:val="auto"/>
                <w:sz w:val="20"/>
                <w:szCs w:val="20"/>
                <w:lang w:eastAsia="en-GB"/>
              </w:rPr>
            </w:pPr>
            <w:r>
              <w:rPr>
                <w:rFonts w:hint="eastAsia" w:ascii="Times New Roman" w:hAnsi="Times New Roman" w:eastAsia="等线" w:cs="Times New Roman"/>
                <w:color w:val="auto"/>
                <w:sz w:val="20"/>
                <w:szCs w:val="20"/>
                <w:lang w:eastAsia="en-GB"/>
              </w:rPr>
              <w:t>Positioning for outdoor scenarios is under objective 2.</w:t>
            </w:r>
          </w:p>
          <w:p>
            <w:pPr>
              <w:keepNext w:val="0"/>
              <w:keepLines w:val="0"/>
              <w:widowControl/>
              <w:suppressLineNumbers w:val="0"/>
              <w:overflowPunct w:val="0"/>
              <w:autoSpaceDE w:val="0"/>
              <w:autoSpaceDN w:val="0"/>
              <w:adjustRightInd w:val="0"/>
              <w:spacing w:before="80" w:beforeAutospacing="0" w:after="80" w:afterAutospacing="0"/>
              <w:ind w:left="360" w:right="0"/>
              <w:textAlignment w:val="baseline"/>
              <w:rPr>
                <w:rFonts w:hint="eastAsia" w:eastAsia="等线"/>
                <w:color w:val="auto"/>
                <w:sz w:val="20"/>
                <w:szCs w:val="20"/>
                <w:lang w:val="en-US" w:eastAsia="zh-CN"/>
              </w:rPr>
            </w:pPr>
            <w:r>
              <w:rPr>
                <w:rFonts w:hint="eastAsia" w:eastAsia="等线"/>
                <w:color w:val="auto"/>
                <w:sz w:val="20"/>
                <w:szCs w:val="20"/>
                <w:lang w:val="en-US" w:eastAsia="zh-CN"/>
              </w:rPr>
              <w:t>......</w:t>
            </w:r>
          </w:p>
          <w:p>
            <w:pPr>
              <w:keepNext w:val="0"/>
              <w:keepLines w:val="0"/>
              <w:widowControl/>
              <w:suppressLineNumbers w:val="0"/>
              <w:overflowPunct w:val="0"/>
              <w:autoSpaceDE w:val="0"/>
              <w:autoSpaceDN w:val="0"/>
              <w:adjustRightInd w:val="0"/>
              <w:spacing w:before="80" w:beforeAutospacing="0" w:after="80" w:afterAutospacing="0"/>
              <w:ind w:left="360" w:right="0"/>
              <w:textAlignment w:val="baseline"/>
              <w:rPr>
                <w:rFonts w:hint="eastAsia" w:eastAsia="等线"/>
                <w:color w:val="auto"/>
                <w:sz w:val="20"/>
                <w:szCs w:val="20"/>
              </w:rPr>
            </w:pPr>
            <w:r>
              <w:rPr>
                <w:rFonts w:hint="eastAsia" w:eastAsia="等线"/>
                <w:color w:val="auto"/>
                <w:sz w:val="20"/>
                <w:szCs w:val="20"/>
              </w:rPr>
              <w:t>This objective includes:</w:t>
            </w:r>
          </w:p>
          <w:p>
            <w:pPr>
              <w:keepNext w:val="0"/>
              <w:keepLines w:val="0"/>
              <w:widowControl/>
              <w:suppressLineNumbers w:val="0"/>
              <w:overflowPunct w:val="0"/>
              <w:autoSpaceDE w:val="0"/>
              <w:autoSpaceDN w:val="0"/>
              <w:adjustRightInd w:val="0"/>
              <w:spacing w:before="80" w:beforeAutospacing="0" w:after="80" w:afterAutospacing="0"/>
              <w:ind w:left="360" w:right="0"/>
              <w:textAlignment w:val="baseline"/>
              <w:rPr>
                <w:rFonts w:hint="eastAsia" w:eastAsia="等线"/>
                <w:b/>
                <w:bCs/>
                <w:color w:val="auto"/>
                <w:sz w:val="20"/>
                <w:szCs w:val="20"/>
                <w:u w:val="single"/>
              </w:rPr>
            </w:pPr>
            <w:r>
              <w:rPr>
                <w:rFonts w:hint="eastAsia" w:eastAsia="等线"/>
                <w:b/>
                <w:bCs/>
                <w:color w:val="auto"/>
                <w:sz w:val="20"/>
                <w:szCs w:val="20"/>
                <w:u w:val="single"/>
              </w:rPr>
              <w:t>RAN1-led</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Study necessary and feasible changes to the Rel-19 air interface to support the above scenarios</w:t>
            </w:r>
          </w:p>
          <w:p>
            <w:pPr>
              <w:keepNext w:val="0"/>
              <w:keepLines w:val="0"/>
              <w:widowControl/>
              <w:numPr>
                <w:ilvl w:val="1"/>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Air interface for device 2b/C studied for outdoor will be reused for supporting device 2b/C in indoor scenarios</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Study applicability and necessity of Device 2b and Device C to the above scenarios, assuming similar device architectures for Device 2b and Device C.</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 xml:space="preserve">While providing clear differentiation with existing 3GPP LPWA IoT technology and the features of 6G relevant to IoT, study outcomes should include </w:t>
            </w:r>
            <w:r>
              <w:rPr>
                <w:rFonts w:hint="eastAsia"/>
                <w:color w:val="auto"/>
                <w:sz w:val="20"/>
                <w:szCs w:val="20"/>
              </w:rPr>
              <w:t>achievable cell edge data rate assuming</w:t>
            </w:r>
          </w:p>
          <w:p>
            <w:pPr>
              <w:keepNext w:val="0"/>
              <w:keepLines w:val="0"/>
              <w:widowControl/>
              <w:numPr>
                <w:ilvl w:val="1"/>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Maximum distance between Reader and Device of 50-500 m</w:t>
            </w:r>
          </w:p>
          <w:p>
            <w:pPr>
              <w:keepNext w:val="0"/>
              <w:keepLines w:val="0"/>
              <w:widowControl/>
              <w:numPr>
                <w:ilvl w:val="1"/>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Maximum transmit power between -3 dBm and +5 dBm for device C</w:t>
            </w:r>
          </w:p>
          <w:p>
            <w:pPr>
              <w:keepNext w:val="0"/>
              <w:keepLines w:val="0"/>
              <w:widowControl/>
              <w:numPr>
                <w:ilvl w:val="2"/>
                <w:numId w:val="4"/>
              </w:numPr>
              <w:suppressLineNumbers w:val="0"/>
              <w:overflowPunct w:val="0"/>
              <w:autoSpaceDE w:val="0"/>
              <w:autoSpaceDN w:val="0"/>
              <w:adjustRightInd w:val="0"/>
              <w:spacing w:before="80" w:beforeAutospacing="0" w:after="80" w:afterAutospacing="0"/>
              <w:ind w:left="2694" w:right="0" w:hanging="354"/>
              <w:textAlignment w:val="baseline"/>
              <w:rPr>
                <w:rFonts w:hint="eastAsia" w:eastAsia="等线"/>
                <w:color w:val="auto"/>
                <w:sz w:val="20"/>
                <w:szCs w:val="20"/>
              </w:rPr>
            </w:pPr>
            <w:r>
              <w:rPr>
                <w:rFonts w:hint="eastAsia" w:eastAsia="等线"/>
                <w:color w:val="auto"/>
                <w:sz w:val="20"/>
                <w:szCs w:val="20"/>
              </w:rPr>
              <w:t>RAN1 to recommend feasible values within this range</w:t>
            </w:r>
          </w:p>
          <w:p>
            <w:pPr>
              <w:keepNext w:val="0"/>
              <w:keepLines w:val="0"/>
              <w:widowControl/>
              <w:numPr>
                <w:ilvl w:val="1"/>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Maximum transmit power of -20 dBm and -10 dBm for device 2b</w:t>
            </w:r>
          </w:p>
          <w:p>
            <w:pPr>
              <w:keepNext w:val="0"/>
              <w:keepLines w:val="0"/>
              <w:widowControl/>
              <w:suppressLineNumbers w:val="0"/>
              <w:overflowPunct w:val="0"/>
              <w:autoSpaceDE w:val="0"/>
              <w:autoSpaceDN w:val="0"/>
              <w:adjustRightInd w:val="0"/>
              <w:spacing w:before="80" w:beforeAutospacing="0" w:after="80" w:afterAutospacing="0"/>
              <w:ind w:left="1440" w:right="0"/>
              <w:textAlignment w:val="baseline"/>
              <w:rPr>
                <w:rFonts w:hint="eastAsia" w:eastAsia="等线"/>
                <w:color w:val="auto"/>
                <w:sz w:val="20"/>
                <w:szCs w:val="20"/>
              </w:rPr>
            </w:pPr>
            <w:r>
              <w:rPr>
                <w:rFonts w:hint="eastAsia" w:eastAsia="等线"/>
                <w:color w:val="auto"/>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Define necessary further evaluation assumptions of deployment scenarios for coverage and coexistence evaluations.</w:t>
            </w:r>
          </w:p>
          <w:p>
            <w:pPr>
              <w:keepNext w:val="0"/>
              <w:keepLines w:val="0"/>
              <w:widowControl/>
              <w:numPr>
                <w:ilvl w:val="0"/>
                <w:numId w:val="4"/>
              </w:numPr>
              <w:suppressLineNumbers w:val="0"/>
              <w:overflowPunct w:val="0"/>
              <w:autoSpaceDE w:val="0"/>
              <w:autoSpaceDN w:val="0"/>
              <w:adjustRightInd w:val="0"/>
              <w:spacing w:before="80" w:beforeAutospacing="0" w:after="80" w:afterAutospacing="0"/>
              <w:ind w:right="0"/>
              <w:textAlignment w:val="baseline"/>
              <w:rPr>
                <w:rFonts w:hint="eastAsia" w:eastAsia="等线"/>
                <w:color w:val="auto"/>
                <w:sz w:val="20"/>
                <w:szCs w:val="20"/>
              </w:rPr>
            </w:pPr>
            <w:r>
              <w:rPr>
                <w:rFonts w:hint="eastAsia" w:eastAsia="等线"/>
                <w:color w:val="auto"/>
                <w:sz w:val="20"/>
                <w:szCs w:val="20"/>
              </w:rPr>
              <w:t>Define link budget calculation for coverage.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cs="Times New Roman"/>
                <w:sz w:val="20"/>
                <w:szCs w:val="20"/>
                <w:vertAlign w:val="baseline"/>
                <w:lang w:val="en-US" w:eastAsia="zh-CN"/>
              </w:rPr>
            </w:pPr>
          </w:p>
        </w:tc>
      </w:tr>
    </w:tbl>
    <w:p>
      <w:pPr>
        <w:spacing w:before="0" w:beforeLines="50" w:after="0" w:afterLines="5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we </w:t>
      </w:r>
      <w:r>
        <w:rPr>
          <w:rFonts w:hint="eastAsia"/>
          <w:lang w:val="en-US" w:eastAsia="zh-CN"/>
        </w:rPr>
        <w:t>provide our views</w:t>
      </w:r>
      <w:r>
        <w:rPr>
          <w:rFonts w:hint="eastAsia" w:ascii="Times New Roman" w:hAnsi="Times New Roman" w:cs="Times New Roman"/>
          <w:sz w:val="20"/>
          <w:szCs w:val="20"/>
          <w:lang w:val="en-US" w:eastAsia="zh-CN"/>
        </w:rPr>
        <w:t xml:space="preserve"> on the evaluation of Ambient IoT.</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spacing w:before="10" w:beforeLines="50" w:after="10" w:afterLines="50" w:line="360" w:lineRule="auto"/>
        <w:ind w:left="0" w:firstLine="0"/>
        <w:rPr>
          <w:b w:val="0"/>
          <w:bCs w:val="0"/>
          <w:lang w:val="en-US" w:eastAsia="zh-CN"/>
        </w:rPr>
      </w:pPr>
      <w:r>
        <w:rPr>
          <w:rFonts w:hint="eastAsia"/>
          <w:b w:val="0"/>
          <w:bCs w:val="0"/>
          <w:lang w:val="en-US" w:eastAsia="zh-CN"/>
        </w:rPr>
        <w:t>Coverage evaluation</w:t>
      </w:r>
    </w:p>
    <w:p>
      <w:pPr>
        <w:spacing w:before="0" w:after="0" w:line="360" w:lineRule="auto"/>
        <w:jc w:val="both"/>
        <w:rPr>
          <w:rFonts w:hint="eastAsia"/>
          <w:b w:val="0"/>
          <w:bCs w:val="0"/>
          <w:lang w:val="en-US" w:eastAsia="zh-CN"/>
        </w:rPr>
      </w:pPr>
      <w:r>
        <w:rPr>
          <w:rFonts w:hint="eastAsia"/>
          <w:b w:val="0"/>
          <w:bCs w:val="0"/>
          <w:lang w:val="en-US" w:eastAsia="zh-CN"/>
        </w:rPr>
        <w:t>Regarding coverage, TR 38.848 specifies the following: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widowControl/>
              <w:suppressLineNumbers w:val="0"/>
              <w:pBdr>
                <w:top w:val="none" w:color="auto" w:sz="0" w:space="0"/>
              </w:pBdr>
              <w:overflowPunct w:val="0"/>
              <w:autoSpaceDE w:val="0"/>
              <w:autoSpaceDN w:val="0"/>
              <w:adjustRightInd w:val="0"/>
              <w:spacing w:before="180" w:beforeAutospacing="0" w:after="180" w:afterAutospacing="0" w:line="360" w:lineRule="auto"/>
              <w:ind w:left="1134" w:right="0" w:hanging="1134"/>
              <w:textAlignment w:val="baseline"/>
              <w:outlineLvl w:val="1"/>
              <w:rPr>
                <w:rFonts w:hint="eastAsia" w:ascii="Times New Roman" w:hAnsi="Times New Roman" w:eastAsia="Times New Roman" w:cs="Times New Roman"/>
                <w:sz w:val="20"/>
                <w:szCs w:val="20"/>
                <w:lang w:val="en-GB" w:eastAsia="en-GB" w:bidi="ar-SA"/>
              </w:rPr>
            </w:pPr>
            <w:bookmarkStart w:id="6" w:name="_Toc145960164"/>
            <w:r>
              <w:rPr>
                <w:rFonts w:hint="eastAsia" w:ascii="Times New Roman" w:hAnsi="Times New Roman" w:eastAsia="Times New Roman" w:cs="Times New Roman"/>
                <w:sz w:val="20"/>
                <w:szCs w:val="20"/>
                <w:lang w:val="en-GB" w:eastAsia="en-GB" w:bidi="ar-SA"/>
              </w:rPr>
              <w:t>5.3</w:t>
            </w:r>
            <w:r>
              <w:rPr>
                <w:rFonts w:hint="eastAsia" w:ascii="Times New Roman" w:hAnsi="Times New Roman" w:eastAsia="Times New Roman" w:cs="Times New Roman"/>
                <w:sz w:val="20"/>
                <w:szCs w:val="20"/>
                <w:lang w:val="en-GB" w:eastAsia="en-GB" w:bidi="ar-SA"/>
              </w:rPr>
              <w:tab/>
            </w:r>
            <w:r>
              <w:rPr>
                <w:rFonts w:hint="eastAsia" w:ascii="Times New Roman" w:hAnsi="Times New Roman" w:eastAsia="Times New Roman" w:cs="Times New Roman"/>
                <w:sz w:val="20"/>
                <w:szCs w:val="20"/>
                <w:lang w:val="en-GB" w:eastAsia="en-GB" w:bidi="ar-SA"/>
              </w:rPr>
              <w:t>Coverage</w:t>
            </w:r>
            <w:bookmarkEnd w:id="6"/>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 xml:space="preserve">The coverage target for both DL and UL is represented by the maximum distance:  </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textAlignment w:val="baseline"/>
              <w:rPr>
                <w:rFonts w:hint="eastAsia" w:ascii="Times New Roman" w:hAnsi="Times New Roman" w:eastAsia="Times New Roman" w:cs="Times New Roman"/>
                <w:sz w:val="20"/>
                <w:szCs w:val="20"/>
                <w:lang w:val="en-GB" w:eastAsia="en-GB" w:bidi="ar-SA"/>
              </w:rPr>
            </w:pPr>
            <w:r>
              <w:rPr>
                <w:rFonts w:hint="eastAsia" w:ascii="Times New Roman" w:hAnsi="Times New Roman" w:eastAsia="Times New Roman" w:cs="Times New Roman"/>
                <w:sz w:val="20"/>
                <w:szCs w:val="20"/>
                <w:lang w:val="en-GB" w:eastAsia="en-GB" w:bidi="ar-SA"/>
              </w:rPr>
              <w:t>-</w:t>
            </w:r>
            <w:r>
              <w:rPr>
                <w:rFonts w:hint="eastAsia" w:ascii="Times New Roman" w:hAnsi="Times New Roman" w:eastAsia="Times New Roman" w:cs="Times New Roman"/>
                <w:sz w:val="20"/>
                <w:szCs w:val="20"/>
                <w:lang w:val="en-GB" w:eastAsia="en-GB" w:bidi="ar-SA"/>
              </w:rPr>
              <w:tab/>
            </w:r>
            <w:r>
              <w:rPr>
                <w:rFonts w:hint="eastAsia" w:ascii="Times New Roman" w:hAnsi="Times New Roman" w:eastAsia="Times New Roman" w:cs="Times New Roman"/>
                <w:sz w:val="20"/>
                <w:szCs w:val="20"/>
                <w:lang w:val="en-GB" w:eastAsia="en-GB" w:bidi="ar-SA"/>
              </w:rPr>
              <w:t>Between Ambient IoT device and basestation in Topology (1) and (3)</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textAlignment w:val="baseline"/>
              <w:rPr>
                <w:rFonts w:hint="eastAsia" w:ascii="Times New Roman" w:hAnsi="Times New Roman" w:eastAsia="Times New Roman" w:cs="Times New Roman"/>
                <w:sz w:val="20"/>
                <w:szCs w:val="20"/>
                <w:lang w:val="en-GB" w:eastAsia="en-GB" w:bidi="ar-SA"/>
              </w:rPr>
            </w:pPr>
            <w:r>
              <w:rPr>
                <w:rFonts w:hint="eastAsia" w:ascii="Times New Roman" w:hAnsi="Times New Roman" w:eastAsia="Times New Roman" w:cs="Times New Roman"/>
                <w:sz w:val="20"/>
                <w:szCs w:val="20"/>
                <w:lang w:val="en-GB" w:eastAsia="en-GB" w:bidi="ar-SA"/>
              </w:rPr>
              <w:t>-</w:t>
            </w:r>
            <w:r>
              <w:rPr>
                <w:rFonts w:hint="eastAsia" w:ascii="Times New Roman" w:hAnsi="Times New Roman" w:eastAsia="Times New Roman" w:cs="Times New Roman"/>
                <w:sz w:val="20"/>
                <w:szCs w:val="20"/>
                <w:lang w:val="en-GB" w:eastAsia="en-GB" w:bidi="ar-SA"/>
              </w:rPr>
              <w:tab/>
            </w:r>
            <w:r>
              <w:rPr>
                <w:rFonts w:hint="eastAsia" w:ascii="Times New Roman" w:hAnsi="Times New Roman" w:eastAsia="Times New Roman" w:cs="Times New Roman"/>
                <w:sz w:val="20"/>
                <w:szCs w:val="20"/>
                <w:lang w:val="en-GB" w:eastAsia="en-GB" w:bidi="ar-SA"/>
              </w:rPr>
              <w:t>Between Ambient IoT device and intermediate or assisting node in Topology (2) and (3), respectively</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textAlignment w:val="baseline"/>
              <w:rPr>
                <w:rFonts w:hint="eastAsia" w:ascii="Times New Roman" w:hAnsi="Times New Roman" w:eastAsia="Times New Roman" w:cs="Times New Roman"/>
                <w:sz w:val="20"/>
                <w:szCs w:val="20"/>
                <w:lang w:val="en-GB" w:eastAsia="en-GB" w:bidi="ar-SA"/>
              </w:rPr>
            </w:pPr>
            <w:r>
              <w:rPr>
                <w:rFonts w:hint="eastAsia" w:ascii="Times New Roman" w:hAnsi="Times New Roman" w:eastAsia="Times New Roman" w:cs="Times New Roman"/>
                <w:sz w:val="20"/>
                <w:szCs w:val="20"/>
                <w:lang w:val="en-GB" w:eastAsia="en-GB" w:bidi="ar-SA"/>
              </w:rPr>
              <w:t>-</w:t>
            </w:r>
            <w:r>
              <w:rPr>
                <w:rFonts w:hint="eastAsia" w:ascii="Times New Roman" w:hAnsi="Times New Roman" w:eastAsia="Times New Roman" w:cs="Times New Roman"/>
                <w:sz w:val="20"/>
                <w:szCs w:val="20"/>
                <w:lang w:val="en-GB" w:eastAsia="en-GB" w:bidi="ar-SA"/>
              </w:rPr>
              <w:tab/>
            </w:r>
            <w:r>
              <w:rPr>
                <w:rFonts w:hint="eastAsia" w:ascii="Times New Roman" w:hAnsi="Times New Roman" w:eastAsia="Times New Roman" w:cs="Times New Roman"/>
                <w:sz w:val="20"/>
                <w:szCs w:val="20"/>
                <w:lang w:val="en-GB" w:eastAsia="en-GB" w:bidi="ar-SA"/>
              </w:rPr>
              <w:t>Between Ambient IoT device and UE in Topology (4).</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Details relevant to the maximum distance such as sensitivity, BLER, transmit power, etc. are for WG expertise to study further.</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textAlignment w:val="baseline"/>
              <w:rPr>
                <w:rFonts w:hint="eastAsia" w:ascii="Times New Roman" w:hAnsi="Times New Roman" w:eastAsia="等线" w:cs="Times New Roman"/>
                <w:sz w:val="20"/>
                <w:szCs w:val="20"/>
                <w:lang w:eastAsia="en-GB"/>
              </w:rPr>
            </w:pPr>
            <w:r>
              <w:rPr>
                <w:rFonts w:hint="eastAsia" w:ascii="Times New Roman" w:hAnsi="Times New Roman" w:eastAsia="等线" w:cs="Times New Roman"/>
                <w:sz w:val="20"/>
                <w:szCs w:val="20"/>
                <w:lang w:eastAsia="en-GB"/>
              </w:rPr>
              <w:t>The design target of coverage is:</w:t>
            </w:r>
          </w:p>
          <w:p>
            <w:pPr>
              <w:keepNext w:val="0"/>
              <w:keepLines w:val="0"/>
              <w:widowControl/>
              <w:suppressLineNumbers w:val="0"/>
              <w:overflowPunct w:val="0"/>
              <w:autoSpaceDE w:val="0"/>
              <w:autoSpaceDN w:val="0"/>
              <w:adjustRightInd w:val="0"/>
              <w:spacing w:before="0" w:beforeAutospacing="0" w:afterAutospacing="0" w:line="360" w:lineRule="auto"/>
              <w:ind w:left="0" w:right="0" w:firstLine="0"/>
              <w:textAlignment w:val="baseline"/>
              <w:rPr>
                <w:rFonts w:hint="eastAsia" w:ascii="Times New Roman" w:hAnsi="Times New Roman" w:eastAsia="等线" w:cs="Times New Roman"/>
                <w:sz w:val="20"/>
                <w:szCs w:val="20"/>
                <w:lang w:eastAsia="en-GB"/>
              </w:rPr>
            </w:pPr>
            <w:bookmarkStart w:id="7" w:name="_Hlk145415009"/>
            <w:r>
              <w:rPr>
                <w:rFonts w:hint="eastAsia" w:ascii="Times New Roman" w:hAnsi="Times New Roman" w:eastAsia="等线" w:cs="Times New Roman"/>
                <w:sz w:val="20"/>
                <w:szCs w:val="20"/>
                <w:lang w:eastAsia="en-GB"/>
              </w:rPr>
              <w:t>By indoor / outdoor, grouping different Devices into a range that WGs can sub-select within</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textAlignment w:val="baseline"/>
              <w:rPr>
                <w:rFonts w:hint="eastAsia" w:ascii="Times New Roman" w:hAnsi="Times New Roman" w:eastAsia="等线" w:cs="Times New Roman"/>
                <w:sz w:val="20"/>
                <w:szCs w:val="20"/>
                <w:lang w:val="en-GB" w:eastAsia="en-GB" w:bidi="ar-SA"/>
              </w:rPr>
            </w:pPr>
            <w:r>
              <w:rPr>
                <w:rFonts w:hint="eastAsia" w:ascii="Times New Roman" w:hAnsi="Times New Roman" w:eastAsia="等线" w:cs="Times New Roman"/>
                <w:sz w:val="20"/>
                <w:szCs w:val="20"/>
                <w:lang w:val="en-GB" w:eastAsia="en-GB" w:bidi="ar-SA"/>
              </w:rPr>
              <w:t>-</w:t>
            </w:r>
            <w:r>
              <w:rPr>
                <w:rFonts w:hint="eastAsia" w:ascii="Times New Roman" w:hAnsi="Times New Roman" w:eastAsia="等线" w:cs="Times New Roman"/>
                <w:sz w:val="20"/>
                <w:szCs w:val="20"/>
                <w:lang w:val="en-GB" w:eastAsia="en-GB" w:bidi="ar-SA"/>
              </w:rPr>
              <w:tab/>
            </w:r>
            <w:r>
              <w:rPr>
                <w:rFonts w:hint="eastAsia" w:ascii="Times New Roman" w:hAnsi="Times New Roman" w:eastAsia="等线" w:cs="Times New Roman"/>
                <w:sz w:val="20"/>
                <w:szCs w:val="20"/>
                <w:lang w:val="en-GB" w:eastAsia="en-GB" w:bidi="ar-SA"/>
              </w:rPr>
              <w:t>the maximum distance of 10 – 50 m for indoor</w:t>
            </w:r>
          </w:p>
          <w:p>
            <w:pPr>
              <w:keepNext w:val="0"/>
              <w:keepLines w:val="0"/>
              <w:widowControl/>
              <w:suppressLineNumbers w:val="0"/>
              <w:overflowPunct w:val="0"/>
              <w:autoSpaceDE w:val="0"/>
              <w:autoSpaceDN w:val="0"/>
              <w:adjustRightInd w:val="0"/>
              <w:spacing w:beforeAutospacing="0" w:after="180" w:afterAutospacing="0" w:line="360" w:lineRule="auto"/>
              <w:ind w:left="568" w:right="0" w:hanging="284"/>
              <w:textAlignment w:val="baseline"/>
              <w:rPr>
                <w:rFonts w:hint="eastAsia" w:ascii="Times New Roman" w:hAnsi="Times New Roman" w:eastAsia="等线" w:cs="Times New Roman"/>
                <w:sz w:val="20"/>
                <w:szCs w:val="20"/>
                <w:lang w:val="en-GB" w:eastAsia="en-GB" w:bidi="ar-SA"/>
              </w:rPr>
            </w:pPr>
            <w:r>
              <w:rPr>
                <w:rFonts w:hint="eastAsia" w:ascii="Times New Roman" w:hAnsi="Times New Roman" w:eastAsia="等线" w:cs="Times New Roman"/>
                <w:sz w:val="20"/>
                <w:szCs w:val="20"/>
                <w:lang w:val="en-GB" w:eastAsia="en-GB" w:bidi="ar-SA"/>
              </w:rPr>
              <w:t>-</w:t>
            </w:r>
            <w:r>
              <w:rPr>
                <w:rFonts w:hint="eastAsia" w:ascii="Times New Roman" w:hAnsi="Times New Roman" w:eastAsia="等线" w:cs="Times New Roman"/>
                <w:sz w:val="20"/>
                <w:szCs w:val="20"/>
                <w:lang w:val="en-GB" w:eastAsia="en-GB" w:bidi="ar-SA"/>
              </w:rPr>
              <w:tab/>
            </w:r>
            <w:r>
              <w:rPr>
                <w:rFonts w:hint="eastAsia" w:ascii="Times New Roman" w:hAnsi="Times New Roman" w:eastAsia="等线" w:cs="Times New Roman"/>
                <w:sz w:val="20"/>
                <w:szCs w:val="20"/>
                <w:lang w:val="en-GB" w:eastAsia="en-GB" w:bidi="ar-SA"/>
              </w:rPr>
              <w:t>the maximum distance of 50 – 500 m for outdoor</w:t>
            </w:r>
          </w:p>
          <w:p>
            <w:pPr>
              <w:keepNext w:val="0"/>
              <w:keepLines/>
              <w:widowControl/>
              <w:suppressLineNumbers w:val="0"/>
              <w:overflowPunct w:val="0"/>
              <w:autoSpaceDE w:val="0"/>
              <w:autoSpaceDN w:val="0"/>
              <w:adjustRightInd w:val="0"/>
              <w:spacing w:beforeAutospacing="0" w:after="180" w:afterAutospacing="0" w:line="360" w:lineRule="auto"/>
              <w:ind w:left="1135" w:right="0" w:hanging="851"/>
              <w:textAlignment w:val="baseline"/>
              <w:rPr>
                <w:rFonts w:hint="eastAsia" w:ascii="Times New Roman" w:hAnsi="Times New Roman" w:eastAsia="MS Mincho" w:cs="Times New Roman"/>
                <w:sz w:val="20"/>
                <w:szCs w:val="20"/>
                <w:lang w:val="en-GB" w:eastAsia="en-GB" w:bidi="ar-SA"/>
              </w:rPr>
            </w:pPr>
            <w:r>
              <w:rPr>
                <w:rFonts w:hint="eastAsia" w:ascii="Times New Roman" w:hAnsi="Times New Roman" w:eastAsia="MS Mincho" w:cs="Times New Roman"/>
                <w:sz w:val="20"/>
                <w:szCs w:val="20"/>
                <w:lang w:val="en-GB" w:eastAsia="en-GB" w:bidi="ar-SA"/>
              </w:rPr>
              <w:t>NOTE:</w:t>
            </w:r>
            <w:r>
              <w:rPr>
                <w:rFonts w:hint="eastAsia" w:ascii="Times New Roman" w:hAnsi="Times New Roman" w:eastAsia="MS Mincho" w:cs="Times New Roman"/>
                <w:sz w:val="20"/>
                <w:szCs w:val="20"/>
                <w:lang w:val="en-GB" w:eastAsia="en-GB" w:bidi="ar-SA"/>
              </w:rPr>
              <w:tab/>
            </w:r>
            <w:r>
              <w:rPr>
                <w:rFonts w:hint="eastAsia" w:ascii="Times New Roman" w:hAnsi="Times New Roman" w:eastAsia="MS Mincho" w:cs="Times New Roman"/>
                <w:sz w:val="20"/>
                <w:szCs w:val="20"/>
                <w:lang w:val="en-GB" w:eastAsia="en-GB" w:bidi="ar-SA"/>
              </w:rPr>
              <w:t>Different target values within these ranges may apply to different devices A/B/C and deployment scenarios 1-5.</w:t>
            </w:r>
          </w:p>
          <w:p>
            <w:pPr>
              <w:keepNext w:val="0"/>
              <w:keepLines/>
              <w:widowControl/>
              <w:suppressLineNumbers w:val="0"/>
              <w:overflowPunct w:val="0"/>
              <w:autoSpaceDE w:val="0"/>
              <w:autoSpaceDN w:val="0"/>
              <w:adjustRightInd w:val="0"/>
              <w:spacing w:beforeAutospacing="0" w:after="180" w:afterAutospacing="0" w:line="360" w:lineRule="auto"/>
              <w:ind w:left="1135" w:right="0" w:hanging="851"/>
              <w:textAlignment w:val="baseline"/>
              <w:rPr>
                <w:rFonts w:hint="eastAsia" w:ascii="Times New Roman" w:hAnsi="Times New Roman" w:eastAsia="MS Mincho" w:cs="Times New Roman"/>
                <w:sz w:val="20"/>
                <w:szCs w:val="20"/>
                <w:lang w:val="en-GB" w:eastAsia="en-GB" w:bidi="ar-SA"/>
              </w:rPr>
            </w:pPr>
            <w:r>
              <w:rPr>
                <w:rFonts w:hint="eastAsia" w:ascii="Times New Roman" w:hAnsi="Times New Roman" w:eastAsia="MS Mincho" w:cs="Times New Roman"/>
                <w:sz w:val="20"/>
                <w:szCs w:val="20"/>
                <w:lang w:val="en-GB" w:eastAsia="en-GB" w:bidi="ar-SA"/>
              </w:rPr>
              <w:t>NOTE:</w:t>
            </w:r>
            <w:r>
              <w:rPr>
                <w:rFonts w:hint="eastAsia" w:ascii="Times New Roman" w:hAnsi="Times New Roman" w:eastAsia="MS Mincho" w:cs="Times New Roman"/>
                <w:sz w:val="20"/>
                <w:szCs w:val="20"/>
                <w:lang w:val="en-GB" w:eastAsia="en-GB" w:bidi="ar-SA"/>
              </w:rPr>
              <w:tab/>
            </w:r>
            <w:r>
              <w:rPr>
                <w:rFonts w:hint="eastAsia" w:ascii="Times New Roman" w:hAnsi="Times New Roman" w:eastAsia="MS Mincho" w:cs="Times New Roman"/>
                <w:sz w:val="20"/>
                <w:szCs w:val="20"/>
                <w:lang w:val="en-GB" w:eastAsia="en-GB" w:bidi="ar-SA"/>
              </w:rPr>
              <w:t>If BS is present, then continuous coverage (from the device perspective) based on a typical ISD between base stations is assumed. This does not imply an assumption of any particular topology.</w:t>
            </w:r>
          </w:p>
          <w:p>
            <w:pPr>
              <w:keepNext w:val="0"/>
              <w:keepLines/>
              <w:widowControl/>
              <w:suppressLineNumbers w:val="0"/>
              <w:overflowPunct w:val="0"/>
              <w:autoSpaceDE w:val="0"/>
              <w:autoSpaceDN w:val="0"/>
              <w:adjustRightInd w:val="0"/>
              <w:spacing w:beforeAutospacing="0" w:after="180" w:afterAutospacing="0" w:line="360" w:lineRule="auto"/>
              <w:ind w:left="1135" w:right="0" w:hanging="851"/>
              <w:textAlignment w:val="baseline"/>
              <w:rPr>
                <w:rFonts w:hint="eastAsia" w:ascii="Times New Roman" w:hAnsi="Times New Roman" w:eastAsia="等线" w:cs="Times New Roman"/>
                <w:sz w:val="20"/>
                <w:szCs w:val="20"/>
                <w:lang w:val="en-GB" w:eastAsia="en-GB" w:bidi="ar-SA"/>
              </w:rPr>
            </w:pPr>
            <w:r>
              <w:rPr>
                <w:rFonts w:hint="eastAsia" w:ascii="Times New Roman" w:hAnsi="Times New Roman" w:eastAsia="等线" w:cs="Times New Roman"/>
                <w:sz w:val="20"/>
                <w:szCs w:val="20"/>
                <w:lang w:val="en-GB" w:eastAsia="en-GB" w:bidi="ar-SA"/>
              </w:rPr>
              <w:t>NOTE:</w:t>
            </w:r>
            <w:r>
              <w:rPr>
                <w:rFonts w:hint="eastAsia" w:ascii="Times New Roman" w:hAnsi="Times New Roman" w:eastAsia="等线" w:cs="Times New Roman"/>
                <w:sz w:val="20"/>
                <w:szCs w:val="20"/>
                <w:lang w:val="en-GB" w:eastAsia="en-GB" w:bidi="ar-SA"/>
              </w:rPr>
              <w:tab/>
            </w:r>
            <w:r>
              <w:rPr>
                <w:rFonts w:hint="eastAsia" w:ascii="Times New Roman" w:hAnsi="Times New Roman" w:eastAsia="等线" w:cs="Times New Roman"/>
                <w:sz w:val="20"/>
                <w:szCs w:val="20"/>
                <w:lang w:val="en-GB" w:eastAsia="en-GB" w:bidi="ar-SA"/>
              </w:rPr>
              <w:t>For Device A &amp; B, the emitter-to-tag distance should be reported as part of the assessment.</w:t>
            </w:r>
            <w:bookmarkEnd w:id="7"/>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spacing w:before="10" w:after="10" w:line="360" w:lineRule="auto"/>
        <w:jc w:val="both"/>
        <w:rPr>
          <w:rFonts w:hint="default" w:eastAsia="宋体" w:cs="Times New Roman"/>
          <w:lang w:val="en-US" w:eastAsia="zh-CN"/>
        </w:rPr>
      </w:pPr>
      <w:r>
        <w:rPr>
          <w:rFonts w:hint="eastAsia"/>
          <w:b w:val="0"/>
          <w:bCs w:val="0"/>
          <w:lang w:val="en-US" w:eastAsia="zh-CN"/>
        </w:rPr>
        <w:t>Firstly, based on the above descriptions in TR 38.848</w:t>
      </w:r>
      <w:r>
        <w:rPr>
          <w:rFonts w:hint="default"/>
          <w:b w:val="0"/>
          <w:bCs w:val="0"/>
          <w:lang w:val="en-US" w:eastAsia="zh-CN"/>
        </w:rPr>
        <w:t>, t</w:t>
      </w:r>
      <w:r>
        <w:rPr>
          <w:rFonts w:hint="default" w:ascii="Times New Roman" w:hAnsi="Times New Roman" w:eastAsia="宋体" w:cs="Times New Roman"/>
          <w:lang w:val="en-US" w:eastAsia="zh-CN"/>
        </w:rPr>
        <w:t>he coverage target for both DL and UL are determined by the maximum distance</w:t>
      </w:r>
      <w:r>
        <w:rPr>
          <w:rFonts w:hint="eastAsia" w:cs="Times New Roman"/>
          <w:lang w:val="en-US" w:eastAsia="zh-CN"/>
        </w:rPr>
        <w:t xml:space="preserve"> between the reader and the device.</w:t>
      </w:r>
    </w:p>
    <w:p>
      <w:pPr>
        <w:spacing w:before="10" w:after="10" w:line="360" w:lineRule="auto"/>
        <w:jc w:val="both"/>
        <w:rPr>
          <w:rFonts w:hint="default" w:eastAsia="宋体" w:cs="Times New Roman"/>
          <w:lang w:val="en-US" w:eastAsia="zh-CN"/>
        </w:rPr>
      </w:pPr>
      <w:r>
        <w:rPr>
          <w:rFonts w:hint="default" w:eastAsia="宋体" w:cs="Times New Roman"/>
          <w:lang w:val="en-US" w:eastAsia="zh-CN"/>
        </w:rPr>
        <w:t>Secondly, the maximum distance between the reader and the device is affected by the device’s peak power consumption. Since different devices have varying peak power characteristicstheir achievable maximum distance</w:t>
      </w:r>
      <w:r>
        <w:rPr>
          <w:rFonts w:hint="eastAsia" w:cs="Times New Roman"/>
          <w:lang w:val="en-US" w:eastAsia="zh-CN"/>
        </w:rPr>
        <w:t xml:space="preserve"> </w:t>
      </w:r>
      <w:r>
        <w:rPr>
          <w:rFonts w:hint="default" w:eastAsia="宋体" w:cs="Times New Roman"/>
          <w:lang w:val="en-US" w:eastAsia="zh-CN"/>
        </w:rPr>
        <w:t xml:space="preserve">will also </w:t>
      </w:r>
      <w:r>
        <w:rPr>
          <w:rFonts w:hint="eastAsia" w:cs="Times New Roman"/>
          <w:lang w:val="en-US" w:eastAsia="zh-CN"/>
        </w:rPr>
        <w:t>vary</w:t>
      </w:r>
      <w:r>
        <w:rPr>
          <w:rFonts w:hint="default" w:eastAsia="宋体" w:cs="Times New Roman"/>
          <w:lang w:val="en-US" w:eastAsia="zh-CN"/>
        </w:rPr>
        <w:t>.</w:t>
      </w:r>
    </w:p>
    <w:p>
      <w:pPr>
        <w:spacing w:before="10" w:after="10" w:line="360" w:lineRule="auto"/>
        <w:jc w:val="both"/>
        <w:rPr>
          <w:rFonts w:hint="default" w:eastAsia="宋体" w:cs="Times New Roman"/>
          <w:lang w:val="en-US" w:eastAsia="zh-CN"/>
        </w:rPr>
      </w:pPr>
      <w:r>
        <w:rPr>
          <w:rFonts w:hint="default" w:eastAsia="宋体" w:cs="Times New Roman"/>
          <w:lang w:val="en-US" w:eastAsia="zh-CN"/>
        </w:rPr>
        <w:t>Furthermore, the Rel-20 SID primarily focuses on two types of devices, which are defined as follows:</w:t>
      </w:r>
    </w:p>
    <w:p>
      <w:pPr>
        <w:numPr>
          <w:ilvl w:val="0"/>
          <w:numId w:val="5"/>
        </w:numPr>
        <w:spacing w:before="10" w:after="10" w:line="360" w:lineRule="auto"/>
        <w:ind w:left="420" w:firstLine="0"/>
        <w:jc w:val="both"/>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pPr>
        <w:numPr>
          <w:ilvl w:val="0"/>
          <w:numId w:val="5"/>
        </w:numPr>
        <w:spacing w:before="10" w:after="10" w:line="360" w:lineRule="auto"/>
        <w:ind w:left="420" w:firstLine="0"/>
        <w:jc w:val="both"/>
        <w:rPr>
          <w:rFonts w:eastAsia="等线"/>
        </w:rPr>
      </w:pPr>
      <w:r>
        <w:rPr>
          <w:rFonts w:eastAsia="等线"/>
        </w:rPr>
        <w:t>Device C: ≤ 1 mW to ≤ 10 mW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pPr>
        <w:spacing w:before="10" w:after="10" w:line="360" w:lineRule="auto"/>
        <w:ind w:left="0" w:firstLine="0"/>
        <w:jc w:val="both"/>
        <w:rPr>
          <w:rFonts w:hint="default"/>
          <w:lang w:val="en-US" w:eastAsia="zh-CN"/>
        </w:rPr>
      </w:pPr>
      <w:r>
        <w:rPr>
          <w:rFonts w:hint="default"/>
          <w:lang w:val="en-US" w:eastAsia="zh-CN"/>
        </w:rPr>
        <w:t xml:space="preserve">Therefore,due to the differences in peak power consumption between </w:t>
      </w:r>
      <w:r>
        <w:rPr>
          <w:rFonts w:hint="eastAsia"/>
          <w:lang w:val="en-US" w:eastAsia="zh-CN"/>
        </w:rPr>
        <w:t>d</w:t>
      </w:r>
      <w:r>
        <w:rPr>
          <w:rFonts w:hint="default"/>
          <w:lang w:val="en-US" w:eastAsia="zh-CN"/>
        </w:rPr>
        <w:t xml:space="preserve">evice 2b and </w:t>
      </w:r>
      <w:r>
        <w:rPr>
          <w:rFonts w:hint="eastAsia"/>
          <w:lang w:val="en-US" w:eastAsia="zh-CN"/>
        </w:rPr>
        <w:t>d</w:t>
      </w:r>
      <w:r>
        <w:rPr>
          <w:rFonts w:hint="default"/>
          <w:lang w:val="en-US" w:eastAsia="zh-CN"/>
        </w:rPr>
        <w:t>evice C, their respective maximum distances</w:t>
      </w:r>
      <w:r>
        <w:rPr>
          <w:rFonts w:hint="eastAsia"/>
          <w:lang w:val="en-US" w:eastAsia="zh-CN"/>
        </w:rPr>
        <w:t xml:space="preserve"> </w:t>
      </w:r>
      <w:r>
        <w:rPr>
          <w:rFonts w:hint="default"/>
          <w:lang w:val="en-US" w:eastAsia="zh-CN"/>
        </w:rPr>
        <w:t xml:space="preserve">are also different. Specifically, the maximum distance for each device type </w:t>
      </w:r>
      <w:r>
        <w:rPr>
          <w:rFonts w:hint="eastAsia"/>
          <w:lang w:val="en-US" w:eastAsia="zh-CN"/>
        </w:rPr>
        <w:t>can</w:t>
      </w:r>
      <w:r>
        <w:rPr>
          <w:rFonts w:hint="default"/>
          <w:lang w:val="en-US" w:eastAsia="zh-CN"/>
        </w:rPr>
        <w:t xml:space="preserve"> be determined based on the evaluation results of the link budget.</w:t>
      </w:r>
    </w:p>
    <w:p>
      <w:pPr>
        <w:spacing w:before="10" w:after="10" w:line="360" w:lineRule="auto"/>
        <w:jc w:val="both"/>
        <w:rPr>
          <w:rFonts w:hint="default" w:eastAsia="宋体"/>
          <w:b/>
          <w:bCs/>
          <w:color w:val="auto"/>
          <w:sz w:val="20"/>
          <w:szCs w:val="20"/>
          <w:lang w:val="en-US" w:eastAsia="zh-CN"/>
        </w:rPr>
      </w:pPr>
      <w:r>
        <w:rPr>
          <w:rFonts w:hint="default" w:eastAsia="宋体"/>
          <w:b/>
          <w:bCs/>
          <w:color w:val="auto"/>
          <w:sz w:val="20"/>
          <w:szCs w:val="20"/>
          <w:lang w:val="en-US" w:eastAsia="zh-CN"/>
        </w:rPr>
        <w:t xml:space="preserve">Proposal 1: The maximum distance for each device type </w:t>
      </w:r>
      <w:r>
        <w:rPr>
          <w:rFonts w:hint="eastAsia"/>
          <w:b/>
          <w:bCs/>
          <w:color w:val="auto"/>
          <w:sz w:val="20"/>
          <w:szCs w:val="20"/>
          <w:lang w:val="en-US" w:eastAsia="zh-CN"/>
        </w:rPr>
        <w:t>can</w:t>
      </w:r>
      <w:r>
        <w:rPr>
          <w:rFonts w:hint="default" w:eastAsia="宋体"/>
          <w:b/>
          <w:bCs/>
          <w:color w:val="auto"/>
          <w:sz w:val="20"/>
          <w:szCs w:val="20"/>
          <w:lang w:val="en-US" w:eastAsia="zh-CN"/>
        </w:rPr>
        <w:t xml:space="preserve"> be determined based on </w:t>
      </w:r>
      <w:r>
        <w:rPr>
          <w:rFonts w:hint="default"/>
          <w:b/>
          <w:bCs/>
          <w:lang w:val="en-US" w:eastAsia="zh-CN"/>
        </w:rPr>
        <w:t>evaluation results of the link budget</w:t>
      </w:r>
      <w:r>
        <w:rPr>
          <w:rFonts w:hint="default" w:eastAsia="宋体"/>
          <w:b/>
          <w:bCs/>
          <w:color w:val="auto"/>
          <w:sz w:val="20"/>
          <w:szCs w:val="20"/>
          <w:lang w:val="en-US" w:eastAsia="zh-CN"/>
        </w:rPr>
        <w:t>.</w:t>
      </w:r>
    </w:p>
    <w:p>
      <w:pPr>
        <w:pStyle w:val="3"/>
        <w:spacing w:before="10" w:beforeLines="50" w:after="10" w:afterLines="50" w:line="360" w:lineRule="auto"/>
        <w:ind w:left="0" w:firstLine="0"/>
        <w:rPr>
          <w:rFonts w:hint="eastAsia" w:ascii="Arial" w:hAnsi="Arial" w:eastAsia="黑体" w:cs="Times New Roman"/>
          <w:b w:val="0"/>
          <w:bCs w:val="0"/>
          <w:kern w:val="32"/>
          <w:sz w:val="32"/>
          <w:szCs w:val="32"/>
          <w:lang w:val="en-US" w:eastAsia="zh-CN" w:bidi="ar-SA"/>
        </w:rPr>
      </w:pPr>
      <w:r>
        <w:rPr>
          <w:rFonts w:hint="eastAsia" w:ascii="Arial" w:hAnsi="Arial" w:eastAsia="黑体" w:cs="Times New Roman"/>
          <w:b w:val="0"/>
          <w:bCs w:val="0"/>
          <w:kern w:val="32"/>
          <w:sz w:val="32"/>
          <w:szCs w:val="32"/>
          <w:lang w:val="en-US" w:eastAsia="zh-CN" w:bidi="ar-SA"/>
        </w:rPr>
        <w:t>Link budget</w:t>
      </w:r>
      <w:r>
        <w:rPr>
          <w:rFonts w:hint="eastAsia" w:cs="Times New Roman"/>
          <w:b w:val="0"/>
          <w:bCs w:val="0"/>
          <w:kern w:val="32"/>
          <w:sz w:val="32"/>
          <w:szCs w:val="32"/>
          <w:lang w:val="en-US" w:eastAsia="zh-CN" w:bidi="ar-SA"/>
        </w:rPr>
        <w:t xml:space="preserve"> for coverage</w:t>
      </w:r>
    </w:p>
    <w:p>
      <w:pPr>
        <w:spacing w:before="10" w:beforeLines="50" w:after="10" w:afterLines="50" w:line="360" w:lineRule="auto"/>
        <w:ind w:left="0" w:firstLine="0"/>
        <w:jc w:val="both"/>
        <w:rPr>
          <w:rFonts w:hint="default"/>
          <w:lang w:val="en-US" w:eastAsia="zh-CN"/>
        </w:rPr>
      </w:pPr>
      <w:r>
        <w:rPr>
          <w:rFonts w:hint="default"/>
          <w:lang w:val="en-US" w:eastAsia="zh-CN"/>
        </w:rPr>
        <w:t>The link budget section in TR 38.769 primarily defines the following two methods for calculating receiver sensitivity:</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pageBreakBefore w:val="0"/>
              <w:widowControl/>
              <w:suppressLineNumbers w:val="0"/>
              <w:pBdr>
                <w:top w:val="none" w:color="auto" w:sz="0" w:space="0"/>
              </w:pBdr>
              <w:kinsoku/>
              <w:wordWrap/>
              <w:overflowPunct w:val="0"/>
              <w:topLinePunct w:val="0"/>
              <w:autoSpaceDE w:val="0"/>
              <w:autoSpaceDN w:val="0"/>
              <w:bidi w:val="0"/>
              <w:adjustRightInd w:val="0"/>
              <w:snapToGrid/>
              <w:spacing w:before="120" w:beforeAutospacing="0" w:after="180" w:afterAutospacing="0" w:line="360" w:lineRule="auto"/>
              <w:ind w:left="1134" w:right="0" w:hanging="1134"/>
              <w:textAlignment w:val="baseline"/>
              <w:outlineLvl w:val="2"/>
              <w:rPr>
                <w:rFonts w:hint="default" w:ascii="Times New Roman" w:hAnsi="Times New Roman" w:eastAsia="等线" w:cs="Times New Roman"/>
                <w:sz w:val="20"/>
                <w:szCs w:val="20"/>
                <w:lang w:val="en-GB" w:eastAsia="zh-CN" w:bidi="ar-SA"/>
              </w:rPr>
            </w:pPr>
            <w:bookmarkStart w:id="8" w:name="_Toc187176077"/>
            <w:bookmarkStart w:id="9" w:name="_Toc181740490"/>
            <w:r>
              <w:rPr>
                <w:rFonts w:hint="default" w:ascii="Times New Roman" w:hAnsi="Times New Roman" w:eastAsia="等线" w:cs="Times New Roman"/>
                <w:sz w:val="20"/>
                <w:szCs w:val="20"/>
                <w:lang w:val="en-GB" w:eastAsia="zh-CN" w:bidi="ar-SA"/>
              </w:rPr>
              <w:t>4.3.1</w:t>
            </w:r>
            <w:r>
              <w:rPr>
                <w:rFonts w:hint="eastAsia" w:ascii="Times New Roman" w:hAnsi="Times New Roman" w:eastAsia="等线" w:cs="Times New Roman"/>
                <w:sz w:val="20"/>
                <w:szCs w:val="20"/>
                <w:lang w:val="en-US" w:eastAsia="zh-CN" w:bidi="ar-SA"/>
              </w:rPr>
              <w:t xml:space="preserve">  </w:t>
            </w:r>
            <w:r>
              <w:rPr>
                <w:rFonts w:hint="default" w:ascii="Times New Roman" w:hAnsi="Times New Roman" w:eastAsia="等线" w:cs="Times New Roman"/>
                <w:sz w:val="20"/>
                <w:szCs w:val="20"/>
                <w:lang w:val="en-GB" w:eastAsia="zh-CN" w:bidi="ar-SA"/>
              </w:rPr>
              <w:t>Receiver sensitivity</w:t>
            </w:r>
            <w:bookmarkEnd w:id="8"/>
            <w:bookmarkEnd w:id="9"/>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360" w:lineRule="auto"/>
              <w:ind w:left="0" w:right="0" w:firstLine="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The study uses the following definitions for receiver sensitivity.</w:t>
            </w:r>
          </w:p>
          <w:p>
            <w:pPr>
              <w:keepNext w:val="0"/>
              <w:keepLines w:val="0"/>
              <w:pageBreakBefore w:val="0"/>
              <w:widowControl/>
              <w:suppressLineNumbers w:val="0"/>
              <w:kinsoku/>
              <w:wordWrap/>
              <w:overflowPunct w:val="0"/>
              <w:topLinePunct w:val="0"/>
              <w:autoSpaceDE w:val="0"/>
              <w:autoSpaceDN w:val="0"/>
              <w:bidi w:val="0"/>
              <w:adjustRightInd w:val="0"/>
              <w:snapToGrid/>
              <w:spacing w:beforeAutospacing="0" w:after="180" w:afterAutospacing="0" w:line="360" w:lineRule="auto"/>
              <w:ind w:left="568" w:right="0" w:hanging="284"/>
              <w:textAlignment w:val="baseline"/>
              <w:rPr>
                <w:rFonts w:hint="default" w:ascii="Times New Roman" w:hAnsi="Times New Roman" w:eastAsia="等线" w:cs="Times New Roman"/>
                <w:sz w:val="20"/>
                <w:szCs w:val="20"/>
                <w:lang w:val="en-GB" w:eastAsia="zh-CN" w:bidi="ar-SA"/>
              </w:rPr>
            </w:pPr>
            <w:r>
              <w:rPr>
                <w:rFonts w:hint="default" w:ascii="Times New Roman" w:hAnsi="Times New Roman" w:eastAsia="等线" w:cs="Times New Roman"/>
                <w:sz w:val="20"/>
                <w:szCs w:val="20"/>
                <w:lang w:val="en-GB" w:eastAsia="zh-CN" w:bidi="ar-SA"/>
              </w:rPr>
              <w:t>Budget-Alt1:</w:t>
            </w:r>
            <w:r>
              <w:rPr>
                <w:rFonts w:hint="default" w:ascii="Times New Roman" w:hAnsi="Times New Roman" w:eastAsia="等线" w:cs="Times New Roman"/>
                <w:sz w:val="20"/>
                <w:szCs w:val="20"/>
                <w:lang w:val="en-GB" w:eastAsia="zh-CN" w:bidi="ar-SA"/>
              </w:rPr>
              <w:tab/>
            </w:r>
            <w:r>
              <w:rPr>
                <w:rFonts w:hint="default" w:ascii="Times New Roman" w:hAnsi="Times New Roman" w:eastAsia="等线" w:cs="Times New Roman"/>
                <w:sz w:val="20"/>
                <w:szCs w:val="20"/>
                <w:lang w:val="en-GB" w:eastAsia="zh-CN" w:bidi="ar-SA"/>
              </w:rPr>
              <w:t>Receiver sensitivity is derived by a predefined threshold and no link-level simulation is needed for link budget calculation</w:t>
            </w:r>
          </w:p>
          <w:p>
            <w:pPr>
              <w:keepNext w:val="0"/>
              <w:keepLines w:val="0"/>
              <w:pageBreakBefore w:val="0"/>
              <w:widowControl/>
              <w:suppressLineNumbers w:val="0"/>
              <w:kinsoku/>
              <w:wordWrap/>
              <w:overflowPunct w:val="0"/>
              <w:topLinePunct w:val="0"/>
              <w:autoSpaceDE w:val="0"/>
              <w:autoSpaceDN w:val="0"/>
              <w:bidi w:val="0"/>
              <w:adjustRightInd w:val="0"/>
              <w:snapToGrid/>
              <w:spacing w:beforeAutospacing="0" w:after="180" w:afterAutospacing="0" w:line="360" w:lineRule="auto"/>
              <w:ind w:left="851" w:right="0" w:hanging="284"/>
              <w:textAlignment w:val="baseline"/>
              <w:rPr>
                <w:rFonts w:hint="default" w:ascii="Times New Roman" w:hAnsi="Times New Roman" w:eastAsia="等线" w:cs="Times New Roman"/>
                <w:sz w:val="20"/>
                <w:szCs w:val="20"/>
                <w:lang w:val="en-GB" w:eastAsia="zh-CN" w:bidi="ar-SA"/>
              </w:rPr>
            </w:pPr>
            <w:r>
              <w:rPr>
                <w:rFonts w:hint="default" w:ascii="Times New Roman" w:hAnsi="Times New Roman" w:eastAsia="等线" w:cs="Times New Roman"/>
                <w:sz w:val="20"/>
                <w:szCs w:val="20"/>
                <w:lang w:val="en-GB" w:eastAsia="zh-CN" w:bidi="ar-SA"/>
              </w:rPr>
              <w:tab/>
            </w:r>
            <w:r>
              <w:rPr>
                <w:rFonts w:hint="default" w:ascii="Times New Roman" w:hAnsi="Times New Roman" w:eastAsia="等线" w:cs="Times New Roman"/>
                <w:sz w:val="20"/>
                <w:szCs w:val="20"/>
                <w:lang w:val="en-GB" w:eastAsia="zh-CN" w:bidi="ar-SA"/>
              </w:rPr>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pPr>
              <w:keepNext w:val="0"/>
              <w:keepLines w:val="0"/>
              <w:pageBreakBefore w:val="0"/>
              <w:widowControl/>
              <w:suppressLineNumbers w:val="0"/>
              <w:kinsoku/>
              <w:wordWrap/>
              <w:overflowPunct w:val="0"/>
              <w:topLinePunct w:val="0"/>
              <w:autoSpaceDE w:val="0"/>
              <w:autoSpaceDN w:val="0"/>
              <w:bidi w:val="0"/>
              <w:adjustRightInd w:val="0"/>
              <w:snapToGrid/>
              <w:spacing w:beforeAutospacing="0" w:after="180" w:afterAutospacing="0" w:line="360" w:lineRule="auto"/>
              <w:ind w:left="851" w:right="0" w:hanging="284"/>
              <w:textAlignment w:val="baseline"/>
              <w:rPr>
                <w:rFonts w:hint="default" w:ascii="Times New Roman" w:hAnsi="Times New Roman" w:eastAsia="等线" w:cs="Times New Roman"/>
                <w:sz w:val="20"/>
                <w:szCs w:val="20"/>
                <w:lang w:val="en-GB" w:eastAsia="zh-CN" w:bidi="ar-SA"/>
              </w:rPr>
            </w:pPr>
            <w:r>
              <w:rPr>
                <w:rFonts w:hint="default" w:ascii="Times New Roman" w:hAnsi="Times New Roman" w:eastAsia="等线" w:cs="Times New Roman"/>
                <w:sz w:val="20"/>
                <w:szCs w:val="20"/>
                <w:lang w:val="en-GB" w:eastAsia="zh-CN" w:bidi="ar-SA"/>
              </w:rPr>
              <w:tab/>
            </w:r>
            <w:r>
              <w:rPr>
                <w:rFonts w:hint="default" w:ascii="Times New Roman" w:hAnsi="Times New Roman" w:eastAsia="等线" w:cs="Times New Roman"/>
                <w:sz w:val="20"/>
                <w:szCs w:val="20"/>
                <w:lang w:val="en-GB" w:eastAsia="zh-CN" w:bidi="ar-SA"/>
              </w:rPr>
              <w:t>Budget-Alt1 receiver sensitivity values are summarized in Annex A.</w:t>
            </w:r>
          </w:p>
          <w:p>
            <w:pPr>
              <w:keepNext w:val="0"/>
              <w:keepLines w:val="0"/>
              <w:pageBreakBefore w:val="0"/>
              <w:widowControl/>
              <w:suppressLineNumbers w:val="0"/>
              <w:kinsoku/>
              <w:wordWrap/>
              <w:overflowPunct w:val="0"/>
              <w:topLinePunct w:val="0"/>
              <w:autoSpaceDE w:val="0"/>
              <w:autoSpaceDN w:val="0"/>
              <w:bidi w:val="0"/>
              <w:adjustRightInd w:val="0"/>
              <w:snapToGrid/>
              <w:spacing w:beforeAutospacing="0" w:after="180" w:afterAutospacing="0" w:line="360" w:lineRule="auto"/>
              <w:ind w:left="568" w:right="0" w:hanging="284"/>
              <w:textAlignment w:val="baseline"/>
              <w:rPr>
                <w:rFonts w:hint="default" w:ascii="Times New Roman" w:hAnsi="Times New Roman" w:eastAsia="等线" w:cs="Times New Roman"/>
                <w:sz w:val="20"/>
                <w:szCs w:val="20"/>
                <w:lang w:val="en-GB" w:eastAsia="zh-CN" w:bidi="ar-SA"/>
              </w:rPr>
            </w:pPr>
            <w:r>
              <w:rPr>
                <w:rFonts w:hint="default" w:ascii="Times New Roman" w:hAnsi="Times New Roman" w:eastAsia="等线" w:cs="Times New Roman"/>
                <w:sz w:val="20"/>
                <w:szCs w:val="20"/>
                <w:lang w:val="en-GB" w:eastAsia="zh-CN" w:bidi="ar-SA"/>
              </w:rPr>
              <w:t>Budget-Alt2:</w:t>
            </w:r>
            <w:r>
              <w:rPr>
                <w:rFonts w:hint="default" w:ascii="Times New Roman" w:hAnsi="Times New Roman" w:eastAsia="等线" w:cs="Times New Roman"/>
                <w:sz w:val="20"/>
                <w:szCs w:val="20"/>
                <w:lang w:val="en-GB" w:eastAsia="zh-CN" w:bidi="ar-SA"/>
              </w:rPr>
              <w:tab/>
            </w:r>
            <w:r>
              <w:rPr>
                <w:rFonts w:hint="default" w:ascii="Times New Roman" w:hAnsi="Times New Roman" w:eastAsia="等线" w:cs="Times New Roman"/>
                <w:sz w:val="20"/>
                <w:szCs w:val="20"/>
                <w:lang w:val="en-GB" w:eastAsia="zh-CN" w:bidi="ar-SA"/>
              </w:rPr>
              <w:t xml:space="preserve">Receiver sensitivity is derived by required SINR which is given by LLS results </w:t>
            </w:r>
          </w:p>
          <w:p>
            <w:pPr>
              <w:keepNext w:val="0"/>
              <w:keepLines w:val="0"/>
              <w:pageBreakBefore w:val="0"/>
              <w:widowControl/>
              <w:suppressLineNumbers w:val="0"/>
              <w:kinsoku/>
              <w:wordWrap/>
              <w:overflowPunct w:val="0"/>
              <w:topLinePunct w:val="0"/>
              <w:autoSpaceDE w:val="0"/>
              <w:autoSpaceDN w:val="0"/>
              <w:bidi w:val="0"/>
              <w:adjustRightInd w:val="0"/>
              <w:snapToGrid/>
              <w:spacing w:beforeAutospacing="0" w:after="180" w:afterAutospacing="0" w:line="360" w:lineRule="auto"/>
              <w:ind w:left="851" w:right="0" w:hanging="284"/>
              <w:textAlignment w:val="baseline"/>
              <w:rPr>
                <w:rFonts w:hint="default" w:ascii="Times New Roman" w:hAnsi="Times New Roman" w:eastAsia="等线" w:cs="Times New Roman"/>
                <w:sz w:val="20"/>
                <w:szCs w:val="20"/>
                <w:lang w:val="en-GB" w:eastAsia="zh-CN" w:bidi="ar-SA"/>
              </w:rPr>
            </w:pPr>
            <w:r>
              <w:rPr>
                <w:rFonts w:hint="default" w:ascii="Times New Roman" w:hAnsi="Times New Roman" w:eastAsia="等线" w:cs="Times New Roman"/>
                <w:sz w:val="20"/>
                <w:szCs w:val="20"/>
                <w:lang w:val="en-GB" w:eastAsia="zh-CN" w:bidi="ar-SA"/>
              </w:rPr>
              <w:tab/>
            </w:r>
            <w:r>
              <w:rPr>
                <w:rFonts w:hint="default" w:ascii="Times New Roman" w:hAnsi="Times New Roman" w:eastAsia="等线" w:cs="Times New Roman"/>
                <w:sz w:val="20"/>
                <w:szCs w:val="20"/>
                <w:lang w:val="en-GB" w:eastAsia="zh-CN" w:bidi="ar-SA"/>
              </w:rPr>
              <w:t>The results rely on link-level simulation results, e.g., required SINR which corresponds to detail LLS assumptions (e.g., BW, coding, data rate). And based on the required SINR, the received sensitivity can be calculated and then the maximum distance / pathloss can be derived.</w:t>
            </w:r>
          </w:p>
          <w:p>
            <w:pPr>
              <w:keepNext w:val="0"/>
              <w:keepLines w:val="0"/>
              <w:pageBreakBefore w:val="0"/>
              <w:widowControl/>
              <w:suppressLineNumbers w:val="0"/>
              <w:kinsoku/>
              <w:wordWrap/>
              <w:overflowPunct w:val="0"/>
              <w:topLinePunct w:val="0"/>
              <w:autoSpaceDE w:val="0"/>
              <w:autoSpaceDN w:val="0"/>
              <w:bidi w:val="0"/>
              <w:adjustRightInd w:val="0"/>
              <w:snapToGrid/>
              <w:spacing w:beforeAutospacing="0" w:after="180" w:afterAutospacing="0" w:line="360" w:lineRule="auto"/>
              <w:ind w:left="851" w:right="0" w:hanging="284"/>
              <w:textAlignment w:val="baseline"/>
              <w:rPr>
                <w:rFonts w:hint="default" w:ascii="Times New Roman" w:hAnsi="Times New Roman" w:eastAsia="等线" w:cs="Times New Roman"/>
                <w:sz w:val="20"/>
                <w:szCs w:val="20"/>
                <w:lang w:val="en-GB" w:eastAsia="zh-CN" w:bidi="ar-SA"/>
              </w:rPr>
            </w:pPr>
            <w:r>
              <w:rPr>
                <w:rFonts w:hint="default" w:ascii="Times New Roman" w:hAnsi="Times New Roman" w:eastAsia="等线" w:cs="Times New Roman"/>
                <w:sz w:val="20"/>
                <w:szCs w:val="20"/>
                <w:lang w:val="en-GB" w:eastAsia="zh-CN" w:bidi="ar-SA"/>
              </w:rPr>
              <w:tab/>
            </w:r>
            <w:r>
              <w:rPr>
                <w:rFonts w:hint="default" w:ascii="Times New Roman" w:hAnsi="Times New Roman" w:eastAsia="等线" w:cs="Times New Roman"/>
                <w:sz w:val="20"/>
                <w:szCs w:val="20"/>
                <w:lang w:val="en-GB" w:eastAsia="zh-CN" w:bidi="ar-SA"/>
              </w:rPr>
              <w:t>Note: For noise power, a noise figure value needs to be provided.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0"/>
                <w:szCs w:val="20"/>
                <w:vertAlign w:val="baseline"/>
                <w:lang w:val="en-US" w:eastAsia="zh-CN"/>
              </w:rPr>
            </w:pPr>
          </w:p>
        </w:tc>
      </w:tr>
    </w:tbl>
    <w:p>
      <w:pPr>
        <w:numPr>
          <w:ilvl w:val="0"/>
          <w:numId w:val="0"/>
        </w:numPr>
        <w:spacing w:before="0" w:beforeLines="50" w:after="0" w:afterLines="50" w:line="360" w:lineRule="auto"/>
        <w:jc w:val="both"/>
        <w:rPr>
          <w:rFonts w:hint="eastAsia" w:cs="Times New Roman"/>
          <w:b w:val="0"/>
          <w:bCs w:val="0"/>
          <w:kern w:val="0"/>
          <w:sz w:val="20"/>
          <w:szCs w:val="20"/>
          <w:lang w:val="en-US" w:eastAsia="zh-CN" w:bidi="ar-SA"/>
        </w:rPr>
      </w:pPr>
      <w:r>
        <w:rPr>
          <w:rFonts w:hint="eastAsia" w:cs="Times New Roman"/>
          <w:b w:val="0"/>
          <w:bCs w:val="0"/>
          <w:kern w:val="0"/>
          <w:sz w:val="20"/>
          <w:szCs w:val="20"/>
          <w:lang w:val="en-US" w:eastAsia="zh-CN" w:bidi="ar-SA"/>
        </w:rPr>
        <w:t>First, from the deployment scenario perspective, R20 SID defines deployment scenario 4 where both devices and base stations are located outdoors, and maximum distance between devices and readers can be 50-500m. This deployment environment will cause significant multipath effects and shadow fading, leading to substantially increased signal noise fluctuations. For such complex channel environment characteristics, it is recommended to use the Budget-Alt2 method to calculate receiver sensitivity, which can more accurately reflect actual noise fluctuations.</w:t>
      </w:r>
    </w:p>
    <w:p>
      <w:pPr>
        <w:numPr>
          <w:ilvl w:val="0"/>
          <w:numId w:val="0"/>
        </w:numPr>
        <w:spacing w:before="0" w:beforeLines="50" w:after="0" w:afterLines="50" w:line="360" w:lineRule="auto"/>
        <w:jc w:val="both"/>
        <w:rPr>
          <w:rFonts w:hint="eastAsia" w:cs="Times New Roman"/>
          <w:b w:val="0"/>
          <w:bCs w:val="0"/>
          <w:kern w:val="0"/>
          <w:sz w:val="20"/>
          <w:szCs w:val="20"/>
          <w:lang w:val="en-US" w:eastAsia="zh-CN" w:bidi="ar-SA"/>
        </w:rPr>
      </w:pPr>
      <w:r>
        <w:rPr>
          <w:rFonts w:hint="eastAsia" w:cs="Times New Roman"/>
          <w:b w:val="0"/>
          <w:bCs w:val="0"/>
          <w:kern w:val="0"/>
          <w:sz w:val="20"/>
          <w:szCs w:val="20"/>
          <w:lang w:val="en-US" w:eastAsia="zh-CN" w:bidi="ar-SA"/>
        </w:rPr>
        <w:t>Second, from the device architecture perspective, R20 SID clearly states that both device 2b and C use either IF envelope detector receiver or ZIF receiver. These two receiver architectures also provide technical support for calculating receiver sensitivity using the Budget-Alt2 method.</w:t>
      </w:r>
    </w:p>
    <w:p>
      <w:pPr>
        <w:numPr>
          <w:ilvl w:val="0"/>
          <w:numId w:val="0"/>
        </w:numPr>
        <w:spacing w:before="0" w:beforeLines="50" w:after="0" w:afterLines="50" w:line="360" w:lineRule="auto"/>
        <w:jc w:val="both"/>
        <w:rPr>
          <w:rFonts w:hint="eastAsia" w:cs="Times New Roman"/>
          <w:b w:val="0"/>
          <w:bCs w:val="0"/>
          <w:kern w:val="0"/>
          <w:sz w:val="20"/>
          <w:szCs w:val="20"/>
          <w:lang w:val="en-US" w:eastAsia="zh-CN" w:bidi="ar-SA"/>
        </w:rPr>
      </w:pPr>
      <w:r>
        <w:rPr>
          <w:rFonts w:hint="eastAsia" w:cs="Times New Roman"/>
          <w:b w:val="0"/>
          <w:bCs w:val="0"/>
          <w:kern w:val="0"/>
          <w:sz w:val="20"/>
          <w:szCs w:val="20"/>
          <w:lang w:val="en-US" w:eastAsia="zh-CN" w:bidi="ar-SA"/>
        </w:rPr>
        <w:t>In summary, whether from the perspective of the deployment scenario or the device architecture, it is recommended to use the Budget-Alt2 method for calculating receiver sensitivity in the link budget template.</w:t>
      </w:r>
    </w:p>
    <w:p>
      <w:pPr>
        <w:numPr>
          <w:ilvl w:val="0"/>
          <w:numId w:val="0"/>
        </w:numPr>
        <w:spacing w:before="0" w:beforeLines="50" w:after="0" w:afterLines="50" w:line="360" w:lineRule="auto"/>
        <w:jc w:val="both"/>
        <w:rPr>
          <w:rFonts w:hint="eastAsia" w:cs="Times New Roman"/>
          <w:b w:val="0"/>
          <w:bCs w:val="0"/>
          <w:kern w:val="0"/>
          <w:sz w:val="20"/>
          <w:szCs w:val="20"/>
          <w:lang w:val="en-US" w:eastAsia="zh-CN" w:bidi="ar-SA"/>
        </w:rPr>
      </w:pPr>
      <w:r>
        <w:rPr>
          <w:rFonts w:hint="default"/>
          <w:b/>
          <w:bCs/>
          <w:sz w:val="20"/>
          <w:szCs w:val="20"/>
          <w:lang w:val="en-US" w:eastAsia="zh-CN"/>
        </w:rPr>
        <w:t xml:space="preserve">Proposal </w:t>
      </w:r>
      <w:r>
        <w:rPr>
          <w:rFonts w:hint="eastAsia" w:ascii="Times New Roman" w:eastAsia="宋体"/>
          <w:b/>
          <w:bCs/>
          <w:sz w:val="20"/>
          <w:szCs w:val="20"/>
          <w:lang w:val="en-US" w:eastAsia="zh-CN"/>
        </w:rPr>
        <w:t>2</w:t>
      </w:r>
      <w:r>
        <w:rPr>
          <w:rFonts w:hint="default"/>
          <w:b/>
          <w:bCs/>
          <w:sz w:val="20"/>
          <w:szCs w:val="20"/>
          <w:lang w:val="en-US" w:eastAsia="zh-CN"/>
        </w:rPr>
        <w:t xml:space="preserve"> </w:t>
      </w:r>
      <w:r>
        <w:rPr>
          <w:rFonts w:hint="eastAsia" w:ascii="Times New Roman" w:eastAsia="宋体"/>
          <w:b/>
          <w:bCs/>
          <w:sz w:val="20"/>
          <w:szCs w:val="20"/>
          <w:lang w:val="en-US" w:eastAsia="zh-CN"/>
        </w:rPr>
        <w:t xml:space="preserve"> </w:t>
      </w:r>
      <w:r>
        <w:rPr>
          <w:rFonts w:hint="eastAsia"/>
          <w:b/>
          <w:bCs/>
          <w:sz w:val="20"/>
          <w:szCs w:val="20"/>
          <w:lang w:val="en-US" w:eastAsia="zh-CN"/>
        </w:rPr>
        <w:t>I</w:t>
      </w:r>
      <w:r>
        <w:rPr>
          <w:rFonts w:hint="eastAsia" w:ascii="Times New Roman" w:eastAsia="宋体"/>
          <w:b/>
          <w:bCs/>
          <w:sz w:val="20"/>
          <w:szCs w:val="20"/>
          <w:lang w:val="en-US" w:eastAsia="zh-CN"/>
        </w:rPr>
        <w:t>t is recommended to use the Budget-Alt2 method for calculating receiver sensitivity in the link budget template</w:t>
      </w:r>
      <w:r>
        <w:rPr>
          <w:rFonts w:hint="default"/>
          <w:b/>
          <w:bCs/>
          <w:sz w:val="20"/>
          <w:szCs w:val="20"/>
          <w:lang w:val="en-US" w:eastAsia="zh-CN"/>
        </w:rPr>
        <w:t>.</w:t>
      </w:r>
    </w:p>
    <w:p>
      <w:pPr>
        <w:numPr>
          <w:ilvl w:val="0"/>
          <w:numId w:val="0"/>
        </w:numPr>
        <w:spacing w:before="0" w:beforeLines="50" w:after="0" w:afterLines="50" w:line="360" w:lineRule="auto"/>
        <w:jc w:val="both"/>
        <w:rPr>
          <w:rFonts w:hint="default"/>
          <w:lang w:val="en-US" w:eastAsia="zh-CN"/>
        </w:rPr>
      </w:pPr>
      <w:r>
        <w:rPr>
          <w:rFonts w:hint="default" w:eastAsia="宋体"/>
          <w:lang w:val="en-US" w:eastAsia="zh-CN"/>
        </w:rPr>
        <w:t xml:space="preserve">Regarding the link budget </w:t>
      </w:r>
      <w:r>
        <w:rPr>
          <w:rFonts w:hint="eastAsia"/>
          <w:lang w:val="en-US" w:eastAsia="zh-CN"/>
        </w:rPr>
        <w:t>template</w:t>
      </w:r>
      <w:r>
        <w:rPr>
          <w:rFonts w:hint="default" w:eastAsia="宋体"/>
          <w:lang w:val="en-US" w:eastAsia="zh-CN"/>
        </w:rPr>
        <w:t xml:space="preserve">, it is generally considered that the link budget template defined in TR 38.769 can be reused. However, since </w:t>
      </w:r>
      <w:r>
        <w:rPr>
          <w:rFonts w:hint="eastAsia"/>
          <w:lang w:val="en-US" w:eastAsia="zh-CN"/>
        </w:rPr>
        <w:t>d</w:t>
      </w:r>
      <w:r>
        <w:rPr>
          <w:rFonts w:hint="default" w:eastAsia="宋体"/>
          <w:lang w:val="en-US" w:eastAsia="zh-CN"/>
        </w:rPr>
        <w:t xml:space="preserve">eployment </w:t>
      </w:r>
      <w:r>
        <w:rPr>
          <w:rFonts w:hint="eastAsia"/>
          <w:lang w:val="en-US" w:eastAsia="zh-CN"/>
        </w:rPr>
        <w:t>s</w:t>
      </w:r>
      <w:r>
        <w:rPr>
          <w:rFonts w:hint="default" w:eastAsia="宋体"/>
          <w:lang w:val="en-US" w:eastAsia="zh-CN"/>
        </w:rPr>
        <w:t xml:space="preserve">cenario 4 </w:t>
      </w:r>
      <w:r>
        <w:rPr>
          <w:rFonts w:hint="eastAsia"/>
          <w:lang w:val="en-US" w:eastAsia="zh-CN"/>
        </w:rPr>
        <w:t xml:space="preserve">of the </w:t>
      </w:r>
      <w:r>
        <w:rPr>
          <w:rFonts w:hint="default" w:eastAsia="宋体"/>
          <w:lang w:val="en-US" w:eastAsia="zh-CN"/>
        </w:rPr>
        <w:t>R20 SID</w:t>
      </w:r>
      <w:r>
        <w:rPr>
          <w:rFonts w:hint="eastAsia"/>
          <w:lang w:val="en-US" w:eastAsia="zh-CN"/>
        </w:rPr>
        <w:t xml:space="preserve"> </w:t>
      </w:r>
      <w:r>
        <w:rPr>
          <w:rFonts w:hint="default" w:eastAsia="宋体"/>
          <w:lang w:val="en-US" w:eastAsia="zh-CN"/>
        </w:rPr>
        <w:t>requires both</w:t>
      </w:r>
      <w:r>
        <w:rPr>
          <w:rFonts w:hint="eastAsia"/>
          <w:lang w:val="en-US" w:eastAsia="zh-CN"/>
        </w:rPr>
        <w:t xml:space="preserve"> </w:t>
      </w:r>
      <w:r>
        <w:rPr>
          <w:rFonts w:hint="default" w:eastAsia="宋体"/>
          <w:lang w:val="en-US" w:eastAsia="zh-CN"/>
        </w:rPr>
        <w:t>devices and base stations to be located outdoors, the existing</w:t>
      </w:r>
      <w:r>
        <w:rPr>
          <w:rFonts w:hint="eastAsia"/>
          <w:lang w:val="en-US" w:eastAsia="zh-CN"/>
        </w:rPr>
        <w:t xml:space="preserve"> pathloss</w:t>
      </w:r>
      <w:r>
        <w:rPr>
          <w:rFonts w:hint="default" w:eastAsia="宋体"/>
          <w:lang w:val="en-US" w:eastAsia="zh-CN"/>
        </w:rPr>
        <w:t xml:space="preserve"> model needs to be reevaluated. Specifically,, it is recommended to use the UMa (Urban Macro) and UMi (Urban Micro) channel models defined in </w:t>
      </w:r>
      <w:r>
        <w:rPr>
          <w:rFonts w:hint="eastAsia"/>
          <w:lang w:val="en-US" w:eastAsia="zh-CN"/>
        </w:rPr>
        <w:t xml:space="preserve">TS </w:t>
      </w:r>
      <w:r>
        <w:rPr>
          <w:rFonts w:hint="default" w:eastAsia="宋体"/>
          <w:lang w:val="en-US" w:eastAsia="zh-CN"/>
        </w:rPr>
        <w:t>38.901</w:t>
      </w:r>
      <w:r>
        <w:rPr>
          <w:rFonts w:hint="eastAsia"/>
          <w:lang w:val="en-US" w:eastAsia="zh-CN"/>
        </w:rPr>
        <w:t xml:space="preserve"> </w:t>
      </w:r>
      <w:r>
        <w:rPr>
          <w:rFonts w:hint="default" w:eastAsia="宋体"/>
          <w:lang w:val="en-US" w:eastAsia="zh-CN"/>
        </w:rPr>
        <w:t xml:space="preserve">as the basis </w:t>
      </w:r>
      <w:bookmarkStart w:id="10" w:name="_GoBack"/>
      <w:r>
        <w:rPr>
          <w:rFonts w:hint="default" w:eastAsia="宋体"/>
          <w:lang w:val="en-US" w:eastAsia="zh-CN"/>
        </w:rPr>
        <w:t xml:space="preserve">for </w:t>
      </w:r>
      <w:r>
        <w:rPr>
          <w:rFonts w:hint="eastAsia"/>
          <w:lang w:val="en-US" w:eastAsia="zh-CN"/>
        </w:rPr>
        <w:t>pathloss</w:t>
      </w:r>
      <w:r>
        <w:rPr>
          <w:rFonts w:hint="default" w:eastAsia="宋体"/>
          <w:lang w:val="en-US" w:eastAsia="zh-CN"/>
        </w:rPr>
        <w:t xml:space="preserve"> modeling</w:t>
      </w:r>
      <w:bookmarkEnd w:id="10"/>
      <w:r>
        <w:rPr>
          <w:rFonts w:hint="default" w:eastAsia="宋体"/>
          <w:lang w:val="en-US" w:eastAsia="zh-CN"/>
        </w:rPr>
        <w:t>.</w:t>
      </w:r>
      <w:r>
        <w:rPr>
          <w:rFonts w:hint="eastAsia"/>
          <w:lang w:val="en-US" w:eastAsia="zh-CN"/>
        </w:rPr>
        <w:t xml:space="preserve"> The  evaluation parameters for the UMa (Urban Macro) and UMi (Urban Micro) channel models specified in TS 38.901, are as follows: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8"/>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 xml:space="preserve">Table </w:t>
            </w:r>
            <w:r>
              <w:rPr>
                <w:rFonts w:hint="eastAsia"/>
                <w:sz w:val="20"/>
                <w:szCs w:val="20"/>
                <w:lang w:eastAsia="ko-KR"/>
              </w:rPr>
              <w:t>7.2</w:t>
            </w:r>
            <w:r>
              <w:rPr>
                <w:rFonts w:hint="eastAsia"/>
                <w:sz w:val="20"/>
                <w:szCs w:val="20"/>
                <w:lang w:eastAsia="zh-CN"/>
              </w:rPr>
              <w:t>-1: Evaluation parameters for UMi-street canyon and UMa scenarios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530"/>
              <w:gridCol w:w="3252"/>
              <w:gridCol w:w="3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D9D9D9"/>
                  <w:vAlign w:val="center"/>
                </w:tcPr>
                <w:p>
                  <w:pPr>
                    <w:pStyle w:val="29"/>
                    <w:widowControl/>
                    <w:suppressLineNumbers w:val="0"/>
                    <w:spacing w:beforeAutospacing="0" w:afterAutospacing="0"/>
                    <w:ind w:right="0"/>
                    <w:rPr>
                      <w:rFonts w:hint="eastAsia" w:cs="Arial"/>
                      <w:szCs w:val="36"/>
                      <w:lang w:val="en-US" w:eastAsia="ko-KR"/>
                    </w:rPr>
                  </w:pPr>
                  <w:r>
                    <w:rPr>
                      <w:rFonts w:hint="eastAsia"/>
                      <w:szCs w:val="20"/>
                      <w:lang w:val="en-US" w:eastAsia="ko-KR"/>
                    </w:rPr>
                    <w:t>Parameters</w:t>
                  </w:r>
                </w:p>
              </w:tc>
              <w:tc>
                <w:tcPr>
                  <w:tcW w:w="0" w:type="auto"/>
                  <w:shd w:val="clear" w:color="auto" w:fill="D9D9D9"/>
                  <w:vAlign w:val="center"/>
                </w:tcPr>
                <w:p>
                  <w:pPr>
                    <w:pStyle w:val="29"/>
                    <w:widowControl/>
                    <w:suppressLineNumbers w:val="0"/>
                    <w:spacing w:beforeAutospacing="0" w:afterAutospacing="0"/>
                    <w:ind w:right="0"/>
                    <w:rPr>
                      <w:rFonts w:hint="eastAsia" w:cs="Arial"/>
                      <w:szCs w:val="36"/>
                      <w:lang w:val="en-US" w:eastAsia="ko-KR"/>
                    </w:rPr>
                  </w:pPr>
                  <w:r>
                    <w:rPr>
                      <w:rFonts w:hint="eastAsia"/>
                      <w:szCs w:val="20"/>
                      <w:lang w:val="en-US" w:eastAsia="ko-KR"/>
                    </w:rPr>
                    <w:t>UMi - street canyon</w:t>
                  </w:r>
                </w:p>
              </w:tc>
              <w:tc>
                <w:tcPr>
                  <w:tcW w:w="0" w:type="auto"/>
                  <w:shd w:val="clear" w:color="auto" w:fill="D9D9D9"/>
                  <w:vAlign w:val="center"/>
                </w:tcPr>
                <w:p>
                  <w:pPr>
                    <w:pStyle w:val="29"/>
                    <w:widowControl/>
                    <w:suppressLineNumbers w:val="0"/>
                    <w:spacing w:beforeAutospacing="0" w:afterAutospacing="0"/>
                    <w:ind w:right="0"/>
                    <w:rPr>
                      <w:rFonts w:hint="eastAsia" w:cs="Arial"/>
                      <w:szCs w:val="36"/>
                      <w:lang w:val="en-US" w:eastAsia="ko-KR"/>
                    </w:rPr>
                  </w:pPr>
                  <w:r>
                    <w:rPr>
                      <w:rFonts w:hint="eastAsia"/>
                      <w:szCs w:val="20"/>
                      <w:lang w:val="en-US" w:eastAsia="ko-KR"/>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2"/>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val="en-US" w:eastAsia="ko-KR"/>
                    </w:rPr>
                    <w:t>Cell layout</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val="en-US" w:eastAsia="ko-KR"/>
                    </w:rPr>
                    <w:t>Hexagonal grid, 19 micro sites, 3 sectors per site (ISD = 200 m)</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cs="Arial"/>
                      <w:szCs w:val="36"/>
                      <w:lang w:val="en-US" w:eastAsia="ko-KR"/>
                    </w:rPr>
                    <w:t>Hexagonal grid, 19 macro sites, 3 sectors per site (ISD = 500 m, see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eastAsia="ko-KR"/>
                    </w:rPr>
                    <w:t xml:space="preserve">BS antenna height </w:t>
                  </w:r>
                  <m:oMath>
                    <m:sSub>
                      <m:sSubPr>
                        <m:ctrlPr>
                          <w:rPr>
                            <w:rFonts w:hint="eastAsia" w:ascii="Cambria Math" w:hAnsi="Cambria Math"/>
                            <w:i/>
                            <w:szCs w:val="20"/>
                          </w:rPr>
                        </m:ctrlPr>
                      </m:sSubPr>
                      <m:e>
                        <m:r>
                          <m:rPr/>
                          <w:rPr>
                            <w:rFonts w:hint="eastAsia" w:ascii="Cambria Math" w:hAnsi="Cambria Math" w:cs="Cambria Math"/>
                            <w:szCs w:val="20"/>
                          </w:rPr>
                          <m:t>ℎ</m:t>
                        </m:r>
                        <m:ctrlPr>
                          <w:rPr>
                            <w:rFonts w:hint="eastAsia" w:ascii="Cambria Math" w:hAnsi="Cambria Math"/>
                            <w:i/>
                            <w:szCs w:val="20"/>
                          </w:rPr>
                        </m:ctrlPr>
                      </m:e>
                      <m:sub>
                        <m:r>
                          <m:rPr>
                            <m:nor/>
                            <m:sty m:val="p"/>
                          </m:rPr>
                          <w:rPr>
                            <w:rFonts w:hint="eastAsia" w:ascii="Cambria Math"/>
                            <w:b w:val="0"/>
                            <w:i w:val="0"/>
                            <w:szCs w:val="20"/>
                          </w:rPr>
                          <m:t>BS</m:t>
                        </m:r>
                        <m:ctrlPr>
                          <w:rPr>
                            <w:rFonts w:hint="eastAsia" w:ascii="Cambria Math" w:hAnsi="Cambria Math"/>
                            <w:szCs w:val="20"/>
                          </w:rPr>
                        </m:ctrlPr>
                      </m:sub>
                    </m:sSub>
                  </m:oMath>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val="en-US" w:eastAsia="ko-KR"/>
                    </w:rPr>
                    <w:t>10 m</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cs="Arial"/>
                      <w:szCs w:val="36"/>
                      <w:lang w:val="en-US" w:eastAsia="ko-KR"/>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pPr>
                    <w:pStyle w:val="30"/>
                    <w:widowControl/>
                    <w:suppressLineNumbers w:val="0"/>
                    <w:spacing w:beforeAutospacing="0" w:afterAutospacing="0"/>
                    <w:ind w:right="0"/>
                    <w:jc w:val="left"/>
                    <w:rPr>
                      <w:rFonts w:hint="eastAsia"/>
                      <w:szCs w:val="20"/>
                      <w:lang w:eastAsia="ko-KR"/>
                    </w:rPr>
                  </w:pPr>
                  <w:r>
                    <w:rPr>
                      <w:rFonts w:hint="eastAsia"/>
                      <w:szCs w:val="20"/>
                      <w:lang w:eastAsia="ko-KR"/>
                    </w:rPr>
                    <w:t>UT location</w:t>
                  </w:r>
                </w:p>
              </w:tc>
              <w:tc>
                <w:tcPr>
                  <w:tcW w:w="0" w:type="auto"/>
                  <w:shd w:val="clear" w:color="auto" w:fill="auto"/>
                  <w:vAlign w:val="center"/>
                </w:tcPr>
                <w:p>
                  <w:pPr>
                    <w:pStyle w:val="30"/>
                    <w:widowControl/>
                    <w:suppressLineNumbers w:val="0"/>
                    <w:spacing w:beforeAutospacing="0" w:afterAutospacing="0"/>
                    <w:ind w:right="0"/>
                    <w:jc w:val="left"/>
                    <w:rPr>
                      <w:rFonts w:hint="eastAsia"/>
                      <w:szCs w:val="20"/>
                      <w:lang w:eastAsia="ko-KR"/>
                    </w:rPr>
                  </w:pPr>
                  <w:r>
                    <w:rPr>
                      <w:rFonts w:hint="eastAsia"/>
                      <w:szCs w:val="20"/>
                      <w:lang w:eastAsia="ko-KR"/>
                    </w:rPr>
                    <w:t>Outdoor/indoor</w:t>
                  </w:r>
                </w:p>
              </w:tc>
              <w:tc>
                <w:tcPr>
                  <w:tcW w:w="0" w:type="auto"/>
                  <w:shd w:val="clear" w:color="auto" w:fill="auto"/>
                  <w:vAlign w:val="center"/>
                </w:tcPr>
                <w:p>
                  <w:pPr>
                    <w:pStyle w:val="30"/>
                    <w:widowControl/>
                    <w:suppressLineNumbers w:val="0"/>
                    <w:spacing w:beforeAutospacing="0" w:afterAutospacing="0"/>
                    <w:ind w:right="0"/>
                    <w:jc w:val="left"/>
                    <w:rPr>
                      <w:rFonts w:hint="eastAsia"/>
                      <w:szCs w:val="20"/>
                      <w:lang w:val="en-US" w:eastAsia="ko-KR"/>
                    </w:rPr>
                  </w:pPr>
                  <w:r>
                    <w:rPr>
                      <w:rFonts w:hint="eastAsia"/>
                      <w:szCs w:val="20"/>
                      <w:lang w:val="en-US" w:eastAsia="ko-KR"/>
                    </w:rPr>
                    <w:t>Outdoor and indoor</w:t>
                  </w:r>
                </w:p>
              </w:tc>
              <w:tc>
                <w:tcPr>
                  <w:tcW w:w="0" w:type="auto"/>
                  <w:shd w:val="clear" w:color="auto" w:fill="auto"/>
                  <w:vAlign w:val="center"/>
                </w:tcPr>
                <w:p>
                  <w:pPr>
                    <w:pStyle w:val="30"/>
                    <w:widowControl/>
                    <w:suppressLineNumbers w:val="0"/>
                    <w:spacing w:beforeAutospacing="0" w:afterAutospacing="0"/>
                    <w:ind w:right="0"/>
                    <w:jc w:val="left"/>
                    <w:rPr>
                      <w:rFonts w:hint="eastAsia"/>
                      <w:szCs w:val="20"/>
                      <w:lang w:val="en-US" w:eastAsia="ko-KR"/>
                    </w:rPr>
                  </w:pPr>
                  <w:r>
                    <w:rPr>
                      <w:rFonts w:hint="eastAsia"/>
                      <w:szCs w:val="20"/>
                      <w:lang w:val="en-US" w:eastAsia="ko-KR"/>
                    </w:rPr>
                    <w:t>Outdoor and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eastAsia="ko-KR"/>
                    </w:rPr>
                    <w:t>LOS/NLOS</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val="en-US" w:eastAsia="ko-KR"/>
                    </w:rPr>
                    <w:t>LOS and NLOS</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eastAsia="Meiryo" w:cs="Arial"/>
                      <w:szCs w:val="20"/>
                      <w:lang w:val="en-US" w:eastAsia="ko-KR"/>
                    </w:rPr>
                    <w:t>LOS and 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eastAsia="ko-KR"/>
                    </w:rPr>
                    <w:t xml:space="preserve">Height </w:t>
                  </w:r>
                  <m:oMath>
                    <m:sSub>
                      <m:sSubPr>
                        <m:ctrlPr>
                          <w:rPr>
                            <w:rFonts w:hint="eastAsia" w:ascii="Cambria Math" w:hAnsi="Cambria Math"/>
                            <w:i/>
                            <w:szCs w:val="20"/>
                          </w:rPr>
                        </m:ctrlPr>
                      </m:sSubPr>
                      <m:e>
                        <m:r>
                          <m:rPr/>
                          <w:rPr>
                            <w:rFonts w:hint="eastAsia" w:ascii="Cambria Math" w:hAnsi="Cambria Math" w:cs="Cambria Math"/>
                            <w:szCs w:val="20"/>
                          </w:rPr>
                          <m:t>ℎ</m:t>
                        </m:r>
                        <m:ctrlPr>
                          <w:rPr>
                            <w:rFonts w:hint="eastAsia" w:ascii="Cambria Math" w:hAnsi="Cambria Math"/>
                            <w:i/>
                            <w:szCs w:val="20"/>
                          </w:rPr>
                        </m:ctrlPr>
                      </m:e>
                      <m:sub>
                        <m:r>
                          <m:rPr>
                            <m:nor/>
                            <m:sty m:val="p"/>
                          </m:rPr>
                          <w:rPr>
                            <w:rFonts w:hint="eastAsia" w:ascii="Cambria Math"/>
                            <w:b w:val="0"/>
                            <w:i w:val="0"/>
                            <w:szCs w:val="20"/>
                          </w:rPr>
                          <m:t>UT</m:t>
                        </m:r>
                        <m:ctrlPr>
                          <w:rPr>
                            <w:rFonts w:hint="eastAsia" w:ascii="Cambria Math" w:hAnsi="Cambria Math"/>
                            <w:szCs w:val="20"/>
                          </w:rPr>
                        </m:ctrlPr>
                      </m:sub>
                    </m:sSub>
                  </m:oMath>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eastAsia="Meiryo" w:cs="Arial"/>
                      <w:szCs w:val="20"/>
                      <w:lang w:val="nl-NL" w:eastAsia="ko-KR"/>
                    </w:rPr>
                    <w:t>Same as 3D-UMi in TR36.873</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eastAsia="Meiryo" w:cs="Arial"/>
                      <w:szCs w:val="20"/>
                      <w:lang w:val="nl-NL" w:eastAsia="ko-KR"/>
                    </w:rPr>
                    <w:t>Same as 3D-UMa in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vAlign w:val="center"/>
                </w:tcPr>
                <w:p>
                  <w:pPr>
                    <w:pStyle w:val="30"/>
                    <w:widowControl/>
                    <w:suppressLineNumbers w:val="0"/>
                    <w:spacing w:beforeAutospacing="0" w:afterAutospacing="0"/>
                    <w:ind w:right="0"/>
                    <w:jc w:val="left"/>
                    <w:rPr>
                      <w:rFonts w:hint="eastAsia"/>
                      <w:szCs w:val="20"/>
                      <w:lang w:eastAsia="ko-KR"/>
                    </w:rPr>
                  </w:pPr>
                  <w:r>
                    <w:rPr>
                      <w:rFonts w:hint="eastAsia"/>
                      <w:szCs w:val="20"/>
                      <w:lang w:eastAsia="ko-KR"/>
                    </w:rPr>
                    <w:t>Indoor UT ratio</w:t>
                  </w:r>
                </w:p>
              </w:tc>
              <w:tc>
                <w:tcPr>
                  <w:tcW w:w="0" w:type="auto"/>
                  <w:shd w:val="clear" w:color="auto" w:fill="auto"/>
                  <w:vAlign w:val="center"/>
                </w:tcPr>
                <w:p>
                  <w:pPr>
                    <w:pStyle w:val="30"/>
                    <w:widowControl/>
                    <w:suppressLineNumbers w:val="0"/>
                    <w:spacing w:beforeAutospacing="0" w:afterAutospacing="0"/>
                    <w:ind w:right="0"/>
                    <w:jc w:val="left"/>
                    <w:rPr>
                      <w:rFonts w:hint="eastAsia"/>
                      <w:szCs w:val="20"/>
                      <w:lang w:val="en-US" w:eastAsia="ko-KR"/>
                    </w:rPr>
                  </w:pPr>
                  <w:r>
                    <w:rPr>
                      <w:rFonts w:hint="eastAsia"/>
                      <w:szCs w:val="20"/>
                      <w:lang w:val="en-US" w:eastAsia="ko-KR"/>
                    </w:rPr>
                    <w:t>80%</w:t>
                  </w:r>
                </w:p>
              </w:tc>
              <w:tc>
                <w:tcPr>
                  <w:tcW w:w="0" w:type="auto"/>
                  <w:shd w:val="clear" w:color="auto" w:fill="auto"/>
                  <w:vAlign w:val="center"/>
                </w:tcPr>
                <w:p>
                  <w:pPr>
                    <w:pStyle w:val="30"/>
                    <w:widowControl/>
                    <w:suppressLineNumbers w:val="0"/>
                    <w:spacing w:beforeAutospacing="0" w:afterAutospacing="0"/>
                    <w:ind w:right="0"/>
                    <w:jc w:val="left"/>
                    <w:rPr>
                      <w:rFonts w:hint="eastAsia"/>
                      <w:szCs w:val="20"/>
                      <w:lang w:val="en-US" w:eastAsia="ko-KR"/>
                    </w:rPr>
                  </w:pPr>
                  <w:r>
                    <w:rPr>
                      <w:rFonts w:hint="eastAsia"/>
                      <w:szCs w:val="20"/>
                      <w:lang w:val="en-US"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eastAsia="ko-KR"/>
                    </w:rPr>
                    <w:t>UT mobility (horizontal plane only)</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val="en-US" w:eastAsia="ko-KR"/>
                    </w:rPr>
                    <w:t>3 km/h</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cs="Arial"/>
                      <w:szCs w:val="36"/>
                      <w:lang w:val="en-US" w:eastAsia="ko-KR"/>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vAlign w:val="center"/>
                </w:tcPr>
                <w:p>
                  <w:pPr>
                    <w:pStyle w:val="30"/>
                    <w:widowControl/>
                    <w:suppressLineNumbers w:val="0"/>
                    <w:spacing w:beforeAutospacing="0" w:afterAutospacing="0"/>
                    <w:ind w:right="0"/>
                    <w:jc w:val="left"/>
                    <w:rPr>
                      <w:rFonts w:hint="eastAsia" w:cs="Arial"/>
                      <w:szCs w:val="36"/>
                      <w:lang w:val="sv-SE" w:eastAsia="ko-KR"/>
                    </w:rPr>
                  </w:pPr>
                  <w:r>
                    <w:rPr>
                      <w:rFonts w:hint="eastAsia"/>
                      <w:szCs w:val="20"/>
                      <w:lang w:val="fr-FR" w:eastAsia="ko-KR"/>
                    </w:rPr>
                    <w:t>Min. BS - UT distance (2D)</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val="en-US" w:eastAsia="ko-KR"/>
                    </w:rPr>
                    <w:t>10 m</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cs="Arial"/>
                      <w:szCs w:val="36"/>
                      <w:lang w:val="en-US" w:eastAsia="ko-KR"/>
                    </w:rPr>
                    <w:t>35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szCs w:val="20"/>
                      <w:lang w:val="en-US" w:eastAsia="ko-KR"/>
                    </w:rPr>
                    <w:t>UT distribution (horizontal)</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cs="Arial"/>
                      <w:szCs w:val="36"/>
                      <w:lang w:val="en-US" w:eastAsia="ko-KR"/>
                    </w:rPr>
                    <w:t>Uniform</w:t>
                  </w:r>
                </w:p>
              </w:tc>
              <w:tc>
                <w:tcPr>
                  <w:tcW w:w="0" w:type="auto"/>
                  <w:shd w:val="clear" w:color="auto" w:fill="auto"/>
                  <w:vAlign w:val="center"/>
                </w:tcPr>
                <w:p>
                  <w:pPr>
                    <w:pStyle w:val="30"/>
                    <w:widowControl/>
                    <w:suppressLineNumbers w:val="0"/>
                    <w:spacing w:beforeAutospacing="0" w:afterAutospacing="0"/>
                    <w:ind w:right="0"/>
                    <w:jc w:val="left"/>
                    <w:rPr>
                      <w:rFonts w:hint="eastAsia" w:cs="Arial"/>
                      <w:szCs w:val="36"/>
                      <w:lang w:val="en-US" w:eastAsia="ko-KR"/>
                    </w:rPr>
                  </w:pPr>
                  <w:r>
                    <w:rPr>
                      <w:rFonts w:hint="eastAsia" w:cs="Arial"/>
                      <w:szCs w:val="36"/>
                      <w:lang w:val="en-US" w:eastAsia="ko-KR"/>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4"/>
                  <w:shd w:val="clear" w:color="auto" w:fill="auto"/>
                  <w:vAlign w:val="center"/>
                </w:tcPr>
                <w:p>
                  <w:pPr>
                    <w:pStyle w:val="46"/>
                    <w:widowControl/>
                    <w:suppressLineNumbers w:val="0"/>
                    <w:spacing w:beforeAutospacing="0" w:afterAutospacing="0"/>
                    <w:ind w:right="0"/>
                    <w:rPr>
                      <w:rFonts w:hint="eastAsia" w:cs="Arial"/>
                      <w:szCs w:val="36"/>
                      <w:lang w:val="en-US" w:eastAsia="ko-KR"/>
                    </w:rPr>
                  </w:pPr>
                  <w:r>
                    <w:rPr>
                      <w:rFonts w:hint="eastAsia"/>
                      <w:szCs w:val="20"/>
                    </w:rPr>
                    <w:t xml:space="preserve">NOTE 1: </w:t>
                  </w:r>
                  <w:r>
                    <w:rPr>
                      <w:rFonts w:hint="eastAsia"/>
                      <w:szCs w:val="20"/>
                    </w:rPr>
                    <w:tab/>
                  </w:r>
                  <w:r>
                    <w:rPr>
                      <w:rFonts w:hint="eastAsia"/>
                      <w:szCs w:val="20"/>
                    </w:rPr>
                    <w:t>UMa scenarios with ISDs between 200-500m can be used for evaluations.</w:t>
                  </w:r>
                </w:p>
              </w:tc>
            </w:tr>
          </w:tbl>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textAlignment w:val="baseline"/>
              <w:rPr>
                <w:rFonts w:hint="default"/>
                <w:sz w:val="20"/>
                <w:szCs w:val="20"/>
                <w:vertAlign w:val="baseline"/>
                <w:lang w:val="en-US" w:eastAsia="zh-CN"/>
              </w:rPr>
            </w:pPr>
          </w:p>
        </w:tc>
      </w:tr>
    </w:tbl>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 xml:space="preserve">Proposal </w:t>
      </w:r>
      <w:r>
        <w:rPr>
          <w:rFonts w:hint="eastAsia"/>
          <w:b/>
          <w:bCs/>
          <w:sz w:val="20"/>
          <w:szCs w:val="20"/>
          <w:lang w:val="en-US" w:eastAsia="zh-CN"/>
        </w:rPr>
        <w:t>3</w:t>
      </w:r>
      <w:r>
        <w:rPr>
          <w:rFonts w:hint="default"/>
          <w:b/>
          <w:bCs/>
          <w:sz w:val="20"/>
          <w:szCs w:val="20"/>
          <w:lang w:val="en-US" w:eastAsia="zh-CN"/>
        </w:rPr>
        <w:t xml:space="preserve"> </w:t>
      </w:r>
      <w:r>
        <w:rPr>
          <w:rFonts w:hint="eastAsia"/>
          <w:b/>
          <w:bCs/>
          <w:sz w:val="20"/>
          <w:szCs w:val="20"/>
          <w:lang w:val="en-US" w:eastAsia="zh-CN"/>
        </w:rPr>
        <w:t xml:space="preserve"> For Deployment Scenario 4, it is recommended to use the UMa (Urban Macro) and UMi (Urban Micro) channel models defined in TS 38.901 as the basis for pathloss modeling</w:t>
      </w:r>
      <w:r>
        <w:rPr>
          <w:rFonts w:hint="default"/>
          <w:b/>
          <w:bCs/>
          <w:sz w:val="20"/>
          <w:szCs w:val="20"/>
          <w:lang w:val="en-US" w:eastAsia="zh-CN"/>
        </w:rPr>
        <w:t>.</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the evaluation of Ambient IoT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1: The maximum distance for each device type can be determined based on evaluation results of the link budget.</w:t>
      </w:r>
    </w:p>
    <w:p>
      <w:pPr>
        <w:spacing w:before="0" w:beforeLines="50" w:after="0" w:afterLines="50" w:line="360" w:lineRule="auto"/>
        <w:jc w:val="both"/>
        <w:rPr>
          <w:rFonts w:hint="default"/>
          <w:b/>
          <w:bCs/>
          <w:sz w:val="20"/>
          <w:szCs w:val="20"/>
          <w:lang w:val="en-US" w:eastAsia="zh-CN"/>
        </w:rPr>
      </w:pPr>
      <w:r>
        <w:rPr>
          <w:rFonts w:hint="default"/>
          <w:b/>
          <w:bCs/>
          <w:sz w:val="20"/>
          <w:szCs w:val="20"/>
          <w:lang w:val="en-US" w:eastAsia="zh-CN"/>
        </w:rPr>
        <w:t>Proposal 2  It is recommended to use the Budget-Alt2 method for calculating receiver sensitivity in the link budget template.</w:t>
      </w:r>
    </w:p>
    <w:p>
      <w:pPr>
        <w:spacing w:before="0" w:beforeLines="50" w:after="0" w:afterLines="50" w:line="360" w:lineRule="auto"/>
        <w:jc w:val="both"/>
        <w:rPr>
          <w:rFonts w:hint="eastAsia"/>
          <w:b/>
          <w:bCs/>
          <w:sz w:val="20"/>
          <w:szCs w:val="20"/>
          <w:lang w:val="en-US" w:eastAsia="zh-CN"/>
        </w:rPr>
      </w:pPr>
      <w:r>
        <w:rPr>
          <w:rFonts w:hint="eastAsia"/>
          <w:b/>
          <w:bCs/>
          <w:sz w:val="20"/>
          <w:szCs w:val="20"/>
          <w:lang w:val="en-US" w:eastAsia="zh-CN"/>
        </w:rPr>
        <w:t>Proposal 3  For Deployment Scenario 4, it is recommended to use the UMa (Urban Macro) and UMi (Urban Micro) channel models defined in TS 38.901 as the basis for pathloss modeling.</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6"/>
        <w:numPr>
          <w:ilvl w:val="0"/>
          <w:numId w:val="6"/>
        </w:numPr>
        <w:spacing w:before="0" w:beforeLines="-2147483648" w:afterLines="-2147483648" w:line="360" w:lineRule="auto"/>
        <w:ind w:left="0" w:leftChars="0" w:firstLine="0"/>
        <w:jc w:val="both"/>
        <w:rPr>
          <w:rFonts w:hint="default" w:ascii="Times New Roman" w:hAnsi="Times New Roman"/>
          <w:lang w:val="zh-CN" w:eastAsia="zh-CN"/>
        </w:rPr>
      </w:pPr>
      <w:r>
        <w:rPr>
          <w:rFonts w:hint="default" w:ascii="Times New Roman" w:hAnsi="Times New Roman"/>
          <w:lang w:val="zh-CN" w:eastAsia="zh-CN"/>
        </w:rPr>
        <w:t>RP-251884</w:t>
      </w:r>
      <w:r>
        <w:rPr>
          <w:rFonts w:hint="eastAsia" w:ascii="Times New Roman" w:hAnsi="Times New Roman"/>
          <w:lang w:val="en-US" w:eastAsia="zh-CN"/>
        </w:rPr>
        <w:t xml:space="preserve">, </w:t>
      </w:r>
      <w:r>
        <w:rPr>
          <w:rFonts w:hint="default" w:ascii="Times New Roman" w:hAnsi="Times New Roman"/>
          <w:lang w:val="zh-CN" w:eastAsia="zh-CN"/>
        </w:rPr>
        <w:t>“New SID on enhancements for solutions for Ambient IoT (Internet of Things) in NR outdoor for active devices”</w:t>
      </w:r>
      <w:r>
        <w:rPr>
          <w:rFonts w:hint="eastAsia" w:ascii="Times New Roman" w:hAnsi="Times New Roman"/>
          <w:lang w:val="zh-CN" w:eastAsia="zh-CN"/>
        </w:rPr>
        <w:t>, RAN#</w:t>
      </w:r>
      <w:r>
        <w:rPr>
          <w:rFonts w:hint="eastAsia" w:ascii="Times New Roman" w:hAnsi="Times New Roman"/>
          <w:lang w:val="en-US" w:eastAsia="zh-CN"/>
        </w:rPr>
        <w:t>108</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eiryo">
    <w:altName w:val="Yu Gothic"/>
    <w:panose1 w:val="00000000000000000000"/>
    <w:charset w:val="80"/>
    <w:family w:val="swiss"/>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D56404"/>
    <w:multiLevelType w:val="multilevel"/>
    <w:tmpl w:val="02D5640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AA46647"/>
    <w:multiLevelType w:val="multilevel"/>
    <w:tmpl w:val="3AA46647"/>
    <w:lvl w:ilvl="0" w:tentative="0">
      <w:start w:val="1"/>
      <w:numFmt w:val="decimal"/>
      <w:pStyle w:val="4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536C2917"/>
    <w:multiLevelType w:val="multilevel"/>
    <w:tmpl w:val="536C2917"/>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lowerRoman"/>
      <w:lvlText w:val="%3."/>
      <w:lvlJc w:val="right"/>
      <w:pPr>
        <w:tabs>
          <w:tab w:val="left" w:pos="420"/>
        </w:tabs>
        <w:ind w:left="2580" w:hanging="180"/>
      </w:pPr>
    </w:lvl>
    <w:lvl w:ilvl="3" w:tentative="0">
      <w:start w:val="1"/>
      <w:numFmt w:val="decimal"/>
      <w:lvlText w:val="%4."/>
      <w:lvlJc w:val="left"/>
      <w:pPr>
        <w:tabs>
          <w:tab w:val="left" w:pos="420"/>
        </w:tabs>
        <w:ind w:left="3300" w:hanging="360"/>
      </w:pPr>
    </w:lvl>
    <w:lvl w:ilvl="4" w:tentative="0">
      <w:start w:val="1"/>
      <w:numFmt w:val="lowerLetter"/>
      <w:lvlText w:val="%5."/>
      <w:lvlJc w:val="left"/>
      <w:pPr>
        <w:tabs>
          <w:tab w:val="left" w:pos="420"/>
        </w:tabs>
        <w:ind w:left="4020" w:hanging="360"/>
      </w:pPr>
    </w:lvl>
    <w:lvl w:ilvl="5" w:tentative="0">
      <w:start w:val="1"/>
      <w:numFmt w:val="lowerRoman"/>
      <w:lvlText w:val="%6."/>
      <w:lvlJc w:val="right"/>
      <w:pPr>
        <w:tabs>
          <w:tab w:val="left" w:pos="420"/>
        </w:tabs>
        <w:ind w:left="4740" w:hanging="180"/>
      </w:pPr>
    </w:lvl>
    <w:lvl w:ilvl="6" w:tentative="0">
      <w:start w:val="1"/>
      <w:numFmt w:val="decimal"/>
      <w:lvlText w:val="%7."/>
      <w:lvlJc w:val="left"/>
      <w:pPr>
        <w:tabs>
          <w:tab w:val="left" w:pos="420"/>
        </w:tabs>
        <w:ind w:left="5460" w:hanging="360"/>
      </w:pPr>
    </w:lvl>
    <w:lvl w:ilvl="7" w:tentative="0">
      <w:start w:val="1"/>
      <w:numFmt w:val="lowerLetter"/>
      <w:lvlText w:val="%8."/>
      <w:lvlJc w:val="left"/>
      <w:pPr>
        <w:tabs>
          <w:tab w:val="left" w:pos="420"/>
        </w:tabs>
        <w:ind w:left="6180" w:hanging="360"/>
      </w:pPr>
    </w:lvl>
    <w:lvl w:ilvl="8" w:tentative="0">
      <w:start w:val="1"/>
      <w:numFmt w:val="lowerRoman"/>
      <w:lvlText w:val="%9."/>
      <w:lvlJc w:val="right"/>
      <w:pPr>
        <w:tabs>
          <w:tab w:val="left" w:pos="420"/>
        </w:tabs>
        <w:ind w:left="690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A2C9F"/>
    <w:rsid w:val="0060288F"/>
    <w:rsid w:val="00666FAF"/>
    <w:rsid w:val="008C11B0"/>
    <w:rsid w:val="00A234BF"/>
    <w:rsid w:val="00A37C1C"/>
    <w:rsid w:val="00A87743"/>
    <w:rsid w:val="00C24C4D"/>
    <w:rsid w:val="00D0754F"/>
    <w:rsid w:val="00D25C57"/>
    <w:rsid w:val="00E658FD"/>
    <w:rsid w:val="00E7058B"/>
    <w:rsid w:val="00E73B88"/>
    <w:rsid w:val="00EF4818"/>
    <w:rsid w:val="010334B8"/>
    <w:rsid w:val="01081B3E"/>
    <w:rsid w:val="01096691"/>
    <w:rsid w:val="010E7C2C"/>
    <w:rsid w:val="01595770"/>
    <w:rsid w:val="015C6643"/>
    <w:rsid w:val="017C407C"/>
    <w:rsid w:val="01914021"/>
    <w:rsid w:val="01A5084E"/>
    <w:rsid w:val="01B93EE0"/>
    <w:rsid w:val="01C95A51"/>
    <w:rsid w:val="01DE08B7"/>
    <w:rsid w:val="01E46029"/>
    <w:rsid w:val="01ED49B9"/>
    <w:rsid w:val="01EE0778"/>
    <w:rsid w:val="01FC7E4D"/>
    <w:rsid w:val="020E6E6E"/>
    <w:rsid w:val="021A3B78"/>
    <w:rsid w:val="022B099C"/>
    <w:rsid w:val="02366D2D"/>
    <w:rsid w:val="02821545"/>
    <w:rsid w:val="02A660E8"/>
    <w:rsid w:val="02AE06E2"/>
    <w:rsid w:val="02B16677"/>
    <w:rsid w:val="02BA26ED"/>
    <w:rsid w:val="02E4484E"/>
    <w:rsid w:val="02ED37D5"/>
    <w:rsid w:val="03292219"/>
    <w:rsid w:val="032D0C33"/>
    <w:rsid w:val="03333EBB"/>
    <w:rsid w:val="03382FAD"/>
    <w:rsid w:val="03600D99"/>
    <w:rsid w:val="03751C38"/>
    <w:rsid w:val="037C4E46"/>
    <w:rsid w:val="039242F7"/>
    <w:rsid w:val="039F6C2A"/>
    <w:rsid w:val="03B429A1"/>
    <w:rsid w:val="03C91325"/>
    <w:rsid w:val="03C91DEF"/>
    <w:rsid w:val="03DC6164"/>
    <w:rsid w:val="03ED4812"/>
    <w:rsid w:val="03F35D89"/>
    <w:rsid w:val="041462BE"/>
    <w:rsid w:val="041F5954"/>
    <w:rsid w:val="042652DF"/>
    <w:rsid w:val="04296264"/>
    <w:rsid w:val="042C3965"/>
    <w:rsid w:val="043063D3"/>
    <w:rsid w:val="0431586E"/>
    <w:rsid w:val="04376BDB"/>
    <w:rsid w:val="043D1681"/>
    <w:rsid w:val="045D79B7"/>
    <w:rsid w:val="045F7637"/>
    <w:rsid w:val="046105A7"/>
    <w:rsid w:val="04664A43"/>
    <w:rsid w:val="048A1780"/>
    <w:rsid w:val="048C0506"/>
    <w:rsid w:val="049C69AA"/>
    <w:rsid w:val="049E5C39"/>
    <w:rsid w:val="04C24D03"/>
    <w:rsid w:val="04FF173F"/>
    <w:rsid w:val="05093353"/>
    <w:rsid w:val="050B2FD3"/>
    <w:rsid w:val="053231DF"/>
    <w:rsid w:val="057B238D"/>
    <w:rsid w:val="05921FB2"/>
    <w:rsid w:val="0597643A"/>
    <w:rsid w:val="059F3847"/>
    <w:rsid w:val="05BB5375"/>
    <w:rsid w:val="05BE0571"/>
    <w:rsid w:val="05C55C85"/>
    <w:rsid w:val="05CA210C"/>
    <w:rsid w:val="05CD6914"/>
    <w:rsid w:val="05E23036"/>
    <w:rsid w:val="05EC5B44"/>
    <w:rsid w:val="05F11FCC"/>
    <w:rsid w:val="06071F1A"/>
    <w:rsid w:val="062D641E"/>
    <w:rsid w:val="06451A56"/>
    <w:rsid w:val="06467E10"/>
    <w:rsid w:val="06493B4E"/>
    <w:rsid w:val="065651D6"/>
    <w:rsid w:val="06631006"/>
    <w:rsid w:val="06723CAF"/>
    <w:rsid w:val="067F5646"/>
    <w:rsid w:val="0682513E"/>
    <w:rsid w:val="068B669D"/>
    <w:rsid w:val="068C5A4E"/>
    <w:rsid w:val="068F5593"/>
    <w:rsid w:val="069375D7"/>
    <w:rsid w:val="06963DDF"/>
    <w:rsid w:val="06A15E55"/>
    <w:rsid w:val="06AB48E6"/>
    <w:rsid w:val="06B22BCB"/>
    <w:rsid w:val="06B6596F"/>
    <w:rsid w:val="06C9625A"/>
    <w:rsid w:val="06D76DC6"/>
    <w:rsid w:val="06DB01C7"/>
    <w:rsid w:val="06E90345"/>
    <w:rsid w:val="06F421CE"/>
    <w:rsid w:val="06FD7C23"/>
    <w:rsid w:val="0703310E"/>
    <w:rsid w:val="072950F2"/>
    <w:rsid w:val="072D4B68"/>
    <w:rsid w:val="07354BE2"/>
    <w:rsid w:val="07410D95"/>
    <w:rsid w:val="07412138"/>
    <w:rsid w:val="075014AD"/>
    <w:rsid w:val="075B4E21"/>
    <w:rsid w:val="07631C05"/>
    <w:rsid w:val="076B50BC"/>
    <w:rsid w:val="079743E7"/>
    <w:rsid w:val="07A03B2F"/>
    <w:rsid w:val="07B728D5"/>
    <w:rsid w:val="07BC033E"/>
    <w:rsid w:val="07DE508C"/>
    <w:rsid w:val="08170305"/>
    <w:rsid w:val="08273F8D"/>
    <w:rsid w:val="082A0972"/>
    <w:rsid w:val="082D4BBF"/>
    <w:rsid w:val="082F067D"/>
    <w:rsid w:val="083126FA"/>
    <w:rsid w:val="084167F2"/>
    <w:rsid w:val="0843731D"/>
    <w:rsid w:val="08575FBE"/>
    <w:rsid w:val="08662D55"/>
    <w:rsid w:val="086D4B2F"/>
    <w:rsid w:val="08A74BCA"/>
    <w:rsid w:val="08B56357"/>
    <w:rsid w:val="08BE5FB6"/>
    <w:rsid w:val="08D602B0"/>
    <w:rsid w:val="08F161BC"/>
    <w:rsid w:val="08F60AA9"/>
    <w:rsid w:val="08F92C4E"/>
    <w:rsid w:val="0900765A"/>
    <w:rsid w:val="090B1EA4"/>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FB666F"/>
    <w:rsid w:val="0A096F0D"/>
    <w:rsid w:val="0A153CE4"/>
    <w:rsid w:val="0A171B51"/>
    <w:rsid w:val="0A4679E7"/>
    <w:rsid w:val="0A4F4EB7"/>
    <w:rsid w:val="0A573505"/>
    <w:rsid w:val="0A580F87"/>
    <w:rsid w:val="0A5A3428"/>
    <w:rsid w:val="0A603E15"/>
    <w:rsid w:val="0A836E29"/>
    <w:rsid w:val="0A886755"/>
    <w:rsid w:val="0A887557"/>
    <w:rsid w:val="0A940E9D"/>
    <w:rsid w:val="0A944117"/>
    <w:rsid w:val="0AA239BF"/>
    <w:rsid w:val="0AB1291A"/>
    <w:rsid w:val="0AB5350C"/>
    <w:rsid w:val="0AC8754E"/>
    <w:rsid w:val="0AD04CB6"/>
    <w:rsid w:val="0AE21DF7"/>
    <w:rsid w:val="0B0A682C"/>
    <w:rsid w:val="0B204305"/>
    <w:rsid w:val="0B3A209D"/>
    <w:rsid w:val="0B4564A6"/>
    <w:rsid w:val="0B4F2D08"/>
    <w:rsid w:val="0B5645CC"/>
    <w:rsid w:val="0B5701C4"/>
    <w:rsid w:val="0B5A0448"/>
    <w:rsid w:val="0B5D18A7"/>
    <w:rsid w:val="0B5F5F36"/>
    <w:rsid w:val="0B6E0C70"/>
    <w:rsid w:val="0B70509F"/>
    <w:rsid w:val="0B764F96"/>
    <w:rsid w:val="0B7E082A"/>
    <w:rsid w:val="0BB30DED"/>
    <w:rsid w:val="0BFF4A4F"/>
    <w:rsid w:val="0C0761ED"/>
    <w:rsid w:val="0C0F2856"/>
    <w:rsid w:val="0C201AD9"/>
    <w:rsid w:val="0C26395F"/>
    <w:rsid w:val="0C3139C5"/>
    <w:rsid w:val="0C3F70FC"/>
    <w:rsid w:val="0C403025"/>
    <w:rsid w:val="0C6B3E4C"/>
    <w:rsid w:val="0C7A3E69"/>
    <w:rsid w:val="0C996207"/>
    <w:rsid w:val="0CA230CA"/>
    <w:rsid w:val="0CAA58C4"/>
    <w:rsid w:val="0CAE6EDD"/>
    <w:rsid w:val="0CC31170"/>
    <w:rsid w:val="0CCC4667"/>
    <w:rsid w:val="0CD41A6D"/>
    <w:rsid w:val="0CF705D6"/>
    <w:rsid w:val="0D003464"/>
    <w:rsid w:val="0D080870"/>
    <w:rsid w:val="0D092E4F"/>
    <w:rsid w:val="0D0E4978"/>
    <w:rsid w:val="0D3D618A"/>
    <w:rsid w:val="0D624402"/>
    <w:rsid w:val="0D6E5C96"/>
    <w:rsid w:val="0D794027"/>
    <w:rsid w:val="0D8008CF"/>
    <w:rsid w:val="0D9F3231"/>
    <w:rsid w:val="0DA306EE"/>
    <w:rsid w:val="0DC566A4"/>
    <w:rsid w:val="0DCC602F"/>
    <w:rsid w:val="0DF513F2"/>
    <w:rsid w:val="0DFE15A3"/>
    <w:rsid w:val="0E1C70B3"/>
    <w:rsid w:val="0E241F41"/>
    <w:rsid w:val="0E2A3E4A"/>
    <w:rsid w:val="0E2C3933"/>
    <w:rsid w:val="0E4D44EF"/>
    <w:rsid w:val="0E6147E8"/>
    <w:rsid w:val="0E9D4189"/>
    <w:rsid w:val="0EA923DC"/>
    <w:rsid w:val="0EC30B46"/>
    <w:rsid w:val="0EF85813"/>
    <w:rsid w:val="0F0B0B79"/>
    <w:rsid w:val="0F0C050B"/>
    <w:rsid w:val="0F396010"/>
    <w:rsid w:val="0F3D018A"/>
    <w:rsid w:val="0F524340"/>
    <w:rsid w:val="0F6770D5"/>
    <w:rsid w:val="0F8143FC"/>
    <w:rsid w:val="0F976375"/>
    <w:rsid w:val="0FAB0A36"/>
    <w:rsid w:val="0FBB3C35"/>
    <w:rsid w:val="0FCD6A7A"/>
    <w:rsid w:val="0FCF1F7D"/>
    <w:rsid w:val="0FD746B6"/>
    <w:rsid w:val="0FD94151"/>
    <w:rsid w:val="0FF80ADD"/>
    <w:rsid w:val="105153AD"/>
    <w:rsid w:val="1053215A"/>
    <w:rsid w:val="10537666"/>
    <w:rsid w:val="1060186C"/>
    <w:rsid w:val="10604BF8"/>
    <w:rsid w:val="107F6857"/>
    <w:rsid w:val="108F23BB"/>
    <w:rsid w:val="10931CC7"/>
    <w:rsid w:val="109E7152"/>
    <w:rsid w:val="10C54ADC"/>
    <w:rsid w:val="10D64D2E"/>
    <w:rsid w:val="10F46F86"/>
    <w:rsid w:val="10F51AD3"/>
    <w:rsid w:val="10F86567"/>
    <w:rsid w:val="11070DD9"/>
    <w:rsid w:val="110F3211"/>
    <w:rsid w:val="11124A42"/>
    <w:rsid w:val="111B4CC6"/>
    <w:rsid w:val="11203C30"/>
    <w:rsid w:val="11321BC4"/>
    <w:rsid w:val="11361122"/>
    <w:rsid w:val="11433E14"/>
    <w:rsid w:val="11624912"/>
    <w:rsid w:val="118F66DA"/>
    <w:rsid w:val="11A62E62"/>
    <w:rsid w:val="11AD400C"/>
    <w:rsid w:val="11B22B48"/>
    <w:rsid w:val="11BC7B3F"/>
    <w:rsid w:val="11DC4675"/>
    <w:rsid w:val="11E93353"/>
    <w:rsid w:val="11E97E3C"/>
    <w:rsid w:val="123B45F5"/>
    <w:rsid w:val="123D56D9"/>
    <w:rsid w:val="12413F80"/>
    <w:rsid w:val="124B2319"/>
    <w:rsid w:val="12851A4C"/>
    <w:rsid w:val="12960691"/>
    <w:rsid w:val="12A365A3"/>
    <w:rsid w:val="12A36D19"/>
    <w:rsid w:val="12A44024"/>
    <w:rsid w:val="12C54559"/>
    <w:rsid w:val="12DF4C74"/>
    <w:rsid w:val="12E73814"/>
    <w:rsid w:val="12F450A8"/>
    <w:rsid w:val="131577DB"/>
    <w:rsid w:val="131D046B"/>
    <w:rsid w:val="1322106F"/>
    <w:rsid w:val="132D673F"/>
    <w:rsid w:val="13303AB1"/>
    <w:rsid w:val="135B2B22"/>
    <w:rsid w:val="135C7F4F"/>
    <w:rsid w:val="13606D51"/>
    <w:rsid w:val="136256DC"/>
    <w:rsid w:val="136844F9"/>
    <w:rsid w:val="13702473"/>
    <w:rsid w:val="139559A9"/>
    <w:rsid w:val="139F60D9"/>
    <w:rsid w:val="13A67F63"/>
    <w:rsid w:val="13E54630"/>
    <w:rsid w:val="13E75FA8"/>
    <w:rsid w:val="13F554B1"/>
    <w:rsid w:val="141B4B0A"/>
    <w:rsid w:val="14327D73"/>
    <w:rsid w:val="144072C9"/>
    <w:rsid w:val="145C6F22"/>
    <w:rsid w:val="145D0DF7"/>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643D6"/>
    <w:rsid w:val="154645F8"/>
    <w:rsid w:val="15682461"/>
    <w:rsid w:val="159F4C86"/>
    <w:rsid w:val="15AD3A82"/>
    <w:rsid w:val="15B410EB"/>
    <w:rsid w:val="15BF12E4"/>
    <w:rsid w:val="15C603C9"/>
    <w:rsid w:val="15CE7E95"/>
    <w:rsid w:val="15D00754"/>
    <w:rsid w:val="15E82AFC"/>
    <w:rsid w:val="15EA5FFF"/>
    <w:rsid w:val="161165A9"/>
    <w:rsid w:val="161D0DD8"/>
    <w:rsid w:val="1637041A"/>
    <w:rsid w:val="16501227"/>
    <w:rsid w:val="167028EC"/>
    <w:rsid w:val="16A135AF"/>
    <w:rsid w:val="16BB6316"/>
    <w:rsid w:val="16BC5984"/>
    <w:rsid w:val="16CD4A10"/>
    <w:rsid w:val="16D162FD"/>
    <w:rsid w:val="16D34EC0"/>
    <w:rsid w:val="16D730C1"/>
    <w:rsid w:val="16E628C2"/>
    <w:rsid w:val="170148CE"/>
    <w:rsid w:val="170B1239"/>
    <w:rsid w:val="171112E5"/>
    <w:rsid w:val="17160823"/>
    <w:rsid w:val="17326BFF"/>
    <w:rsid w:val="173340E6"/>
    <w:rsid w:val="176432ED"/>
    <w:rsid w:val="1766497C"/>
    <w:rsid w:val="17846D8A"/>
    <w:rsid w:val="179358ED"/>
    <w:rsid w:val="17B13154"/>
    <w:rsid w:val="17EF5450"/>
    <w:rsid w:val="180D062A"/>
    <w:rsid w:val="18216F24"/>
    <w:rsid w:val="182A1DB2"/>
    <w:rsid w:val="18397E4E"/>
    <w:rsid w:val="183D7BCD"/>
    <w:rsid w:val="183E7952"/>
    <w:rsid w:val="18584E7F"/>
    <w:rsid w:val="187C1BBC"/>
    <w:rsid w:val="188259C1"/>
    <w:rsid w:val="18856C48"/>
    <w:rsid w:val="188859CE"/>
    <w:rsid w:val="18A26578"/>
    <w:rsid w:val="18B21AD6"/>
    <w:rsid w:val="18B831D8"/>
    <w:rsid w:val="18B9611B"/>
    <w:rsid w:val="18BD2625"/>
    <w:rsid w:val="18C6070A"/>
    <w:rsid w:val="18EA08C6"/>
    <w:rsid w:val="19286D8E"/>
    <w:rsid w:val="19362978"/>
    <w:rsid w:val="19362B11"/>
    <w:rsid w:val="194B0F90"/>
    <w:rsid w:val="19A22A9C"/>
    <w:rsid w:val="19AB5A16"/>
    <w:rsid w:val="19B6063F"/>
    <w:rsid w:val="19C21571"/>
    <w:rsid w:val="19D3216D"/>
    <w:rsid w:val="19DB757A"/>
    <w:rsid w:val="19DE61EA"/>
    <w:rsid w:val="19E5623B"/>
    <w:rsid w:val="19F743DF"/>
    <w:rsid w:val="1A002E8D"/>
    <w:rsid w:val="1A092EB5"/>
    <w:rsid w:val="1A093D0B"/>
    <w:rsid w:val="1A0F674F"/>
    <w:rsid w:val="1A2608F3"/>
    <w:rsid w:val="1A373790"/>
    <w:rsid w:val="1A5204BD"/>
    <w:rsid w:val="1A682661"/>
    <w:rsid w:val="1A70368C"/>
    <w:rsid w:val="1A942215"/>
    <w:rsid w:val="1A9E33B7"/>
    <w:rsid w:val="1AA8344A"/>
    <w:rsid w:val="1AAE4765"/>
    <w:rsid w:val="1AB25F55"/>
    <w:rsid w:val="1ACC2385"/>
    <w:rsid w:val="1AD0213C"/>
    <w:rsid w:val="1AE16AA7"/>
    <w:rsid w:val="1AE462AF"/>
    <w:rsid w:val="1AE945CD"/>
    <w:rsid w:val="1AF65748"/>
    <w:rsid w:val="1B023361"/>
    <w:rsid w:val="1B0C4DA8"/>
    <w:rsid w:val="1B400965"/>
    <w:rsid w:val="1B450D4A"/>
    <w:rsid w:val="1B456B6C"/>
    <w:rsid w:val="1B5C41F3"/>
    <w:rsid w:val="1B685A87"/>
    <w:rsid w:val="1B784A1C"/>
    <w:rsid w:val="1B797F1F"/>
    <w:rsid w:val="1BB258FC"/>
    <w:rsid w:val="1BD815BE"/>
    <w:rsid w:val="1BED197A"/>
    <w:rsid w:val="1BEE7EDE"/>
    <w:rsid w:val="1BFF39FC"/>
    <w:rsid w:val="1C1823A7"/>
    <w:rsid w:val="1C274BC0"/>
    <w:rsid w:val="1C417A54"/>
    <w:rsid w:val="1C4231EC"/>
    <w:rsid w:val="1C4A27F6"/>
    <w:rsid w:val="1C8428CC"/>
    <w:rsid w:val="1CB731AA"/>
    <w:rsid w:val="1CB908AC"/>
    <w:rsid w:val="1CC26829"/>
    <w:rsid w:val="1CDC7B67"/>
    <w:rsid w:val="1CE32D75"/>
    <w:rsid w:val="1D176197"/>
    <w:rsid w:val="1D3A2CBF"/>
    <w:rsid w:val="1D3D187B"/>
    <w:rsid w:val="1D4E0DE6"/>
    <w:rsid w:val="1D5F3C1E"/>
    <w:rsid w:val="1D786CA0"/>
    <w:rsid w:val="1DA453B1"/>
    <w:rsid w:val="1DCA7153"/>
    <w:rsid w:val="1E310498"/>
    <w:rsid w:val="1E4303B3"/>
    <w:rsid w:val="1E450B37"/>
    <w:rsid w:val="1E5D04F2"/>
    <w:rsid w:val="1E6C1577"/>
    <w:rsid w:val="1E7744D8"/>
    <w:rsid w:val="1E913FE6"/>
    <w:rsid w:val="1ECD0317"/>
    <w:rsid w:val="1ECD1FB9"/>
    <w:rsid w:val="1ED32220"/>
    <w:rsid w:val="1EF27252"/>
    <w:rsid w:val="1EF736D9"/>
    <w:rsid w:val="1EF8454C"/>
    <w:rsid w:val="1F0868CC"/>
    <w:rsid w:val="1F1402D1"/>
    <w:rsid w:val="1F5F5687"/>
    <w:rsid w:val="1F63408D"/>
    <w:rsid w:val="1F665012"/>
    <w:rsid w:val="1F667210"/>
    <w:rsid w:val="1F713F17"/>
    <w:rsid w:val="1F750C79"/>
    <w:rsid w:val="1F7B1734"/>
    <w:rsid w:val="1F8079C8"/>
    <w:rsid w:val="1F904D1B"/>
    <w:rsid w:val="1F921AFC"/>
    <w:rsid w:val="1FBF3122"/>
    <w:rsid w:val="1FBF7ED9"/>
    <w:rsid w:val="1FC2792A"/>
    <w:rsid w:val="1FEC2E86"/>
    <w:rsid w:val="1FF47D57"/>
    <w:rsid w:val="20061318"/>
    <w:rsid w:val="200F068A"/>
    <w:rsid w:val="20165EEA"/>
    <w:rsid w:val="20273EC1"/>
    <w:rsid w:val="202C1558"/>
    <w:rsid w:val="20323461"/>
    <w:rsid w:val="203E1579"/>
    <w:rsid w:val="203E4CF5"/>
    <w:rsid w:val="204562F9"/>
    <w:rsid w:val="20486C30"/>
    <w:rsid w:val="204F1D3F"/>
    <w:rsid w:val="205D20D4"/>
    <w:rsid w:val="20600576"/>
    <w:rsid w:val="207520C7"/>
    <w:rsid w:val="207C25DC"/>
    <w:rsid w:val="20AA5A3A"/>
    <w:rsid w:val="20DA5585"/>
    <w:rsid w:val="20DC4847"/>
    <w:rsid w:val="20F14799"/>
    <w:rsid w:val="20F644A4"/>
    <w:rsid w:val="20F95428"/>
    <w:rsid w:val="20FC2B2A"/>
    <w:rsid w:val="21004DB3"/>
    <w:rsid w:val="210D0846"/>
    <w:rsid w:val="21190C8C"/>
    <w:rsid w:val="21197EDC"/>
    <w:rsid w:val="21330A85"/>
    <w:rsid w:val="213972AA"/>
    <w:rsid w:val="213C7197"/>
    <w:rsid w:val="21486D50"/>
    <w:rsid w:val="214F5755"/>
    <w:rsid w:val="21556A3C"/>
    <w:rsid w:val="217B257A"/>
    <w:rsid w:val="218063DE"/>
    <w:rsid w:val="2185500C"/>
    <w:rsid w:val="21A041E8"/>
    <w:rsid w:val="21A65541"/>
    <w:rsid w:val="21A835A0"/>
    <w:rsid w:val="21B1733E"/>
    <w:rsid w:val="21B568F1"/>
    <w:rsid w:val="21C71C6C"/>
    <w:rsid w:val="21EF5F68"/>
    <w:rsid w:val="21F51F69"/>
    <w:rsid w:val="22112672"/>
    <w:rsid w:val="221A5E06"/>
    <w:rsid w:val="222A579A"/>
    <w:rsid w:val="223F443B"/>
    <w:rsid w:val="224131C1"/>
    <w:rsid w:val="226804C4"/>
    <w:rsid w:val="226E080D"/>
    <w:rsid w:val="227642CF"/>
    <w:rsid w:val="227749C1"/>
    <w:rsid w:val="22827B85"/>
    <w:rsid w:val="228D52AD"/>
    <w:rsid w:val="22A266DE"/>
    <w:rsid w:val="22AE5D73"/>
    <w:rsid w:val="22B456FE"/>
    <w:rsid w:val="22B578FD"/>
    <w:rsid w:val="22EB050E"/>
    <w:rsid w:val="22EE7297"/>
    <w:rsid w:val="22F215F2"/>
    <w:rsid w:val="22F40CCD"/>
    <w:rsid w:val="22FD69AE"/>
    <w:rsid w:val="230B5C6A"/>
    <w:rsid w:val="23102595"/>
    <w:rsid w:val="232A313F"/>
    <w:rsid w:val="2331054B"/>
    <w:rsid w:val="233D0CA3"/>
    <w:rsid w:val="2350557D"/>
    <w:rsid w:val="23543698"/>
    <w:rsid w:val="235532CB"/>
    <w:rsid w:val="23571683"/>
    <w:rsid w:val="2378316C"/>
    <w:rsid w:val="23AB02F8"/>
    <w:rsid w:val="23B452A1"/>
    <w:rsid w:val="23B52D23"/>
    <w:rsid w:val="23E1725C"/>
    <w:rsid w:val="23EA7086"/>
    <w:rsid w:val="24061828"/>
    <w:rsid w:val="24222D39"/>
    <w:rsid w:val="24245EC5"/>
    <w:rsid w:val="242E2CD0"/>
    <w:rsid w:val="24361E02"/>
    <w:rsid w:val="243B09FD"/>
    <w:rsid w:val="243F1C79"/>
    <w:rsid w:val="245E7CB8"/>
    <w:rsid w:val="246141B4"/>
    <w:rsid w:val="24726959"/>
    <w:rsid w:val="24770AA7"/>
    <w:rsid w:val="24805C6F"/>
    <w:rsid w:val="24813A19"/>
    <w:rsid w:val="248C0279"/>
    <w:rsid w:val="248F3D0B"/>
    <w:rsid w:val="24924C8F"/>
    <w:rsid w:val="249C66CB"/>
    <w:rsid w:val="24A22650"/>
    <w:rsid w:val="24A835B0"/>
    <w:rsid w:val="24B66149"/>
    <w:rsid w:val="24CF5058"/>
    <w:rsid w:val="24E06F8D"/>
    <w:rsid w:val="24F02BBA"/>
    <w:rsid w:val="24F02CB3"/>
    <w:rsid w:val="25016670"/>
    <w:rsid w:val="251364E2"/>
    <w:rsid w:val="25236CE0"/>
    <w:rsid w:val="253731E2"/>
    <w:rsid w:val="25380D5E"/>
    <w:rsid w:val="254002AB"/>
    <w:rsid w:val="254D1B3F"/>
    <w:rsid w:val="25783C88"/>
    <w:rsid w:val="259733DB"/>
    <w:rsid w:val="25984B6E"/>
    <w:rsid w:val="259F0F36"/>
    <w:rsid w:val="25A34ACC"/>
    <w:rsid w:val="25A733DE"/>
    <w:rsid w:val="25A77BA7"/>
    <w:rsid w:val="25AC53DC"/>
    <w:rsid w:val="25BF7538"/>
    <w:rsid w:val="25E25F7B"/>
    <w:rsid w:val="25FA3B44"/>
    <w:rsid w:val="26014383"/>
    <w:rsid w:val="26025AC5"/>
    <w:rsid w:val="26117D22"/>
    <w:rsid w:val="261C37E3"/>
    <w:rsid w:val="262805A9"/>
    <w:rsid w:val="262864B1"/>
    <w:rsid w:val="264E29E7"/>
    <w:rsid w:val="265817DB"/>
    <w:rsid w:val="26685E4E"/>
    <w:rsid w:val="266D09DC"/>
    <w:rsid w:val="26710598"/>
    <w:rsid w:val="26714A83"/>
    <w:rsid w:val="269C0568"/>
    <w:rsid w:val="26A149EF"/>
    <w:rsid w:val="26A420F1"/>
    <w:rsid w:val="26AE6283"/>
    <w:rsid w:val="26BE5191"/>
    <w:rsid w:val="26D50A2C"/>
    <w:rsid w:val="26DA5E4E"/>
    <w:rsid w:val="26E7112A"/>
    <w:rsid w:val="26EA0DDC"/>
    <w:rsid w:val="26EA2865"/>
    <w:rsid w:val="26FF6F87"/>
    <w:rsid w:val="270B2D9A"/>
    <w:rsid w:val="270F6F56"/>
    <w:rsid w:val="272E2055"/>
    <w:rsid w:val="27400A49"/>
    <w:rsid w:val="27436595"/>
    <w:rsid w:val="27447A7C"/>
    <w:rsid w:val="274D7274"/>
    <w:rsid w:val="276438A0"/>
    <w:rsid w:val="279C6D96"/>
    <w:rsid w:val="27A61977"/>
    <w:rsid w:val="27CE415D"/>
    <w:rsid w:val="27E34FFB"/>
    <w:rsid w:val="27EA7EA0"/>
    <w:rsid w:val="27EB20ED"/>
    <w:rsid w:val="28090ABE"/>
    <w:rsid w:val="28193E3D"/>
    <w:rsid w:val="282370EA"/>
    <w:rsid w:val="283852AB"/>
    <w:rsid w:val="283D2808"/>
    <w:rsid w:val="283F7913"/>
    <w:rsid w:val="284E2FD5"/>
    <w:rsid w:val="286F3CE6"/>
    <w:rsid w:val="287A4275"/>
    <w:rsid w:val="28901C9C"/>
    <w:rsid w:val="28C51F7C"/>
    <w:rsid w:val="28C629A4"/>
    <w:rsid w:val="28C65A54"/>
    <w:rsid w:val="28D7460F"/>
    <w:rsid w:val="28DA5593"/>
    <w:rsid w:val="28DF1A1B"/>
    <w:rsid w:val="28DF6020"/>
    <w:rsid w:val="28E37000"/>
    <w:rsid w:val="28E46DC0"/>
    <w:rsid w:val="28EB75FE"/>
    <w:rsid w:val="28F57152"/>
    <w:rsid w:val="290915EC"/>
    <w:rsid w:val="29156672"/>
    <w:rsid w:val="291908FB"/>
    <w:rsid w:val="292B0388"/>
    <w:rsid w:val="293E4099"/>
    <w:rsid w:val="294D10FC"/>
    <w:rsid w:val="29613C3C"/>
    <w:rsid w:val="29925D2E"/>
    <w:rsid w:val="299A7BB4"/>
    <w:rsid w:val="29AA010A"/>
    <w:rsid w:val="29FA68D1"/>
    <w:rsid w:val="2A1A17A3"/>
    <w:rsid w:val="2A513BB1"/>
    <w:rsid w:val="2A5218FD"/>
    <w:rsid w:val="2A7F36C6"/>
    <w:rsid w:val="2A827ECE"/>
    <w:rsid w:val="2A8E045D"/>
    <w:rsid w:val="2AA37F20"/>
    <w:rsid w:val="2AAC3290"/>
    <w:rsid w:val="2ACF474A"/>
    <w:rsid w:val="2AEB718E"/>
    <w:rsid w:val="2AF93390"/>
    <w:rsid w:val="2AFE7817"/>
    <w:rsid w:val="2B0E0F04"/>
    <w:rsid w:val="2B15743C"/>
    <w:rsid w:val="2B162C13"/>
    <w:rsid w:val="2B172940"/>
    <w:rsid w:val="2B20324F"/>
    <w:rsid w:val="2B2333E5"/>
    <w:rsid w:val="2B33446E"/>
    <w:rsid w:val="2B347CF1"/>
    <w:rsid w:val="2B3B7775"/>
    <w:rsid w:val="2B773C5E"/>
    <w:rsid w:val="2BA179A6"/>
    <w:rsid w:val="2BB51544"/>
    <w:rsid w:val="2BCE466D"/>
    <w:rsid w:val="2BE5357A"/>
    <w:rsid w:val="2BFD4452"/>
    <w:rsid w:val="2C0525C8"/>
    <w:rsid w:val="2C102B57"/>
    <w:rsid w:val="2C153FA1"/>
    <w:rsid w:val="2C1A370D"/>
    <w:rsid w:val="2C3F7E23"/>
    <w:rsid w:val="2C6C546F"/>
    <w:rsid w:val="2C71696C"/>
    <w:rsid w:val="2C7176F9"/>
    <w:rsid w:val="2C784B05"/>
    <w:rsid w:val="2C7D1787"/>
    <w:rsid w:val="2C9C42D9"/>
    <w:rsid w:val="2CAC6259"/>
    <w:rsid w:val="2CB71D79"/>
    <w:rsid w:val="2CBA6005"/>
    <w:rsid w:val="2CC04EFA"/>
    <w:rsid w:val="2CFB3628"/>
    <w:rsid w:val="2D312F7F"/>
    <w:rsid w:val="2D3319B5"/>
    <w:rsid w:val="2D3376D8"/>
    <w:rsid w:val="2D4476D1"/>
    <w:rsid w:val="2D4C0361"/>
    <w:rsid w:val="2D516C15"/>
    <w:rsid w:val="2D5477C2"/>
    <w:rsid w:val="2D855F3C"/>
    <w:rsid w:val="2DB00085"/>
    <w:rsid w:val="2DD30BA4"/>
    <w:rsid w:val="2DE95C61"/>
    <w:rsid w:val="2DF602B7"/>
    <w:rsid w:val="2DFE2383"/>
    <w:rsid w:val="2E194231"/>
    <w:rsid w:val="2E3458E0"/>
    <w:rsid w:val="2E4D5985"/>
    <w:rsid w:val="2E544021"/>
    <w:rsid w:val="2E654C7E"/>
    <w:rsid w:val="2E934898"/>
    <w:rsid w:val="2E93719C"/>
    <w:rsid w:val="2EA10D4B"/>
    <w:rsid w:val="2EA9281C"/>
    <w:rsid w:val="2EC0772B"/>
    <w:rsid w:val="2ED139E0"/>
    <w:rsid w:val="2ED90459"/>
    <w:rsid w:val="2EE4137C"/>
    <w:rsid w:val="2EF561D3"/>
    <w:rsid w:val="2F280B6B"/>
    <w:rsid w:val="2F413C94"/>
    <w:rsid w:val="2F7041AE"/>
    <w:rsid w:val="2F7743A1"/>
    <w:rsid w:val="2F8639E2"/>
    <w:rsid w:val="2F973463"/>
    <w:rsid w:val="2FBF7DE5"/>
    <w:rsid w:val="2FC20D6A"/>
    <w:rsid w:val="2FC30914"/>
    <w:rsid w:val="2FCF028E"/>
    <w:rsid w:val="2FD31004"/>
    <w:rsid w:val="2FEC412C"/>
    <w:rsid w:val="2FF31539"/>
    <w:rsid w:val="303F6316"/>
    <w:rsid w:val="30A72E79"/>
    <w:rsid w:val="30C90064"/>
    <w:rsid w:val="30C920B8"/>
    <w:rsid w:val="30D15BCA"/>
    <w:rsid w:val="30ED4FD4"/>
    <w:rsid w:val="30F36EDD"/>
    <w:rsid w:val="31030360"/>
    <w:rsid w:val="31182819"/>
    <w:rsid w:val="312623DC"/>
    <w:rsid w:val="312F34BF"/>
    <w:rsid w:val="31416C5C"/>
    <w:rsid w:val="31586882"/>
    <w:rsid w:val="315A7B86"/>
    <w:rsid w:val="315F1A90"/>
    <w:rsid w:val="315F400E"/>
    <w:rsid w:val="31696F75"/>
    <w:rsid w:val="31726B52"/>
    <w:rsid w:val="317503B0"/>
    <w:rsid w:val="31A96174"/>
    <w:rsid w:val="31BC0B24"/>
    <w:rsid w:val="31E657CA"/>
    <w:rsid w:val="31E806EF"/>
    <w:rsid w:val="31E85D1D"/>
    <w:rsid w:val="31F73CFB"/>
    <w:rsid w:val="321460E0"/>
    <w:rsid w:val="321A6940"/>
    <w:rsid w:val="32251F8D"/>
    <w:rsid w:val="3231301E"/>
    <w:rsid w:val="32324C5B"/>
    <w:rsid w:val="32395E90"/>
    <w:rsid w:val="323D5BFB"/>
    <w:rsid w:val="3248523C"/>
    <w:rsid w:val="324E6820"/>
    <w:rsid w:val="32532545"/>
    <w:rsid w:val="32792BB7"/>
    <w:rsid w:val="32843FA5"/>
    <w:rsid w:val="328626B9"/>
    <w:rsid w:val="32902DEB"/>
    <w:rsid w:val="32946609"/>
    <w:rsid w:val="32994C8F"/>
    <w:rsid w:val="329A7A4B"/>
    <w:rsid w:val="32A468A4"/>
    <w:rsid w:val="32D21107"/>
    <w:rsid w:val="32D373F3"/>
    <w:rsid w:val="32F020EB"/>
    <w:rsid w:val="32F65704"/>
    <w:rsid w:val="3300373A"/>
    <w:rsid w:val="331C6DAD"/>
    <w:rsid w:val="3329287D"/>
    <w:rsid w:val="334B2535"/>
    <w:rsid w:val="334F6D3D"/>
    <w:rsid w:val="3356713D"/>
    <w:rsid w:val="33735C77"/>
    <w:rsid w:val="3381731A"/>
    <w:rsid w:val="338C5949"/>
    <w:rsid w:val="33984BB2"/>
    <w:rsid w:val="33A56132"/>
    <w:rsid w:val="33CA2E03"/>
    <w:rsid w:val="33D313E6"/>
    <w:rsid w:val="33D577B5"/>
    <w:rsid w:val="33DF4AD8"/>
    <w:rsid w:val="33E41B9C"/>
    <w:rsid w:val="33F208EE"/>
    <w:rsid w:val="33FA4C57"/>
    <w:rsid w:val="34022063"/>
    <w:rsid w:val="340D0031"/>
    <w:rsid w:val="341B37CF"/>
    <w:rsid w:val="3430602A"/>
    <w:rsid w:val="3431732F"/>
    <w:rsid w:val="34393D20"/>
    <w:rsid w:val="344227AB"/>
    <w:rsid w:val="34436088"/>
    <w:rsid w:val="345221E6"/>
    <w:rsid w:val="345352E6"/>
    <w:rsid w:val="345912BC"/>
    <w:rsid w:val="346A4F0B"/>
    <w:rsid w:val="34712317"/>
    <w:rsid w:val="347E67DF"/>
    <w:rsid w:val="34987FD8"/>
    <w:rsid w:val="34B9050D"/>
    <w:rsid w:val="34D54F15"/>
    <w:rsid w:val="34E96ADE"/>
    <w:rsid w:val="35093AFE"/>
    <w:rsid w:val="354B252D"/>
    <w:rsid w:val="354D6802"/>
    <w:rsid w:val="355F746B"/>
    <w:rsid w:val="35611C20"/>
    <w:rsid w:val="356309A6"/>
    <w:rsid w:val="3565215B"/>
    <w:rsid w:val="358F2AEF"/>
    <w:rsid w:val="35A95897"/>
    <w:rsid w:val="35AD46F6"/>
    <w:rsid w:val="35B237C1"/>
    <w:rsid w:val="35B567A6"/>
    <w:rsid w:val="35B873B1"/>
    <w:rsid w:val="35B900B0"/>
    <w:rsid w:val="35C74E47"/>
    <w:rsid w:val="35CE44E9"/>
    <w:rsid w:val="35DB18E9"/>
    <w:rsid w:val="35EA4102"/>
    <w:rsid w:val="36127845"/>
    <w:rsid w:val="3618394C"/>
    <w:rsid w:val="36285F9A"/>
    <w:rsid w:val="36366780"/>
    <w:rsid w:val="36453517"/>
    <w:rsid w:val="364C2EB6"/>
    <w:rsid w:val="36665823"/>
    <w:rsid w:val="36794C6B"/>
    <w:rsid w:val="36852913"/>
    <w:rsid w:val="36A54835"/>
    <w:rsid w:val="36B62551"/>
    <w:rsid w:val="3713231B"/>
    <w:rsid w:val="371A47F4"/>
    <w:rsid w:val="37201BEF"/>
    <w:rsid w:val="37342E1F"/>
    <w:rsid w:val="37467121"/>
    <w:rsid w:val="374E39C9"/>
    <w:rsid w:val="375A1582"/>
    <w:rsid w:val="377D6A97"/>
    <w:rsid w:val="37915A3E"/>
    <w:rsid w:val="37972EC4"/>
    <w:rsid w:val="379B18CA"/>
    <w:rsid w:val="379D6FCC"/>
    <w:rsid w:val="37A015D3"/>
    <w:rsid w:val="37A2030E"/>
    <w:rsid w:val="37A44758"/>
    <w:rsid w:val="37A54048"/>
    <w:rsid w:val="37CB65AF"/>
    <w:rsid w:val="382473A9"/>
    <w:rsid w:val="382E3037"/>
    <w:rsid w:val="384B6B1D"/>
    <w:rsid w:val="385C3F07"/>
    <w:rsid w:val="38662298"/>
    <w:rsid w:val="386D639F"/>
    <w:rsid w:val="38864D4B"/>
    <w:rsid w:val="38933456"/>
    <w:rsid w:val="38CB386D"/>
    <w:rsid w:val="38CD2F41"/>
    <w:rsid w:val="38CF6444"/>
    <w:rsid w:val="38D146E8"/>
    <w:rsid w:val="38E73AEB"/>
    <w:rsid w:val="39003390"/>
    <w:rsid w:val="392302DB"/>
    <w:rsid w:val="392F3EDF"/>
    <w:rsid w:val="39456083"/>
    <w:rsid w:val="395A05A6"/>
    <w:rsid w:val="396E7247"/>
    <w:rsid w:val="39A43E33"/>
    <w:rsid w:val="39A706A6"/>
    <w:rsid w:val="39B70940"/>
    <w:rsid w:val="39C2541D"/>
    <w:rsid w:val="39ED44B5"/>
    <w:rsid w:val="39F83928"/>
    <w:rsid w:val="39FF0D34"/>
    <w:rsid w:val="39FF6B36"/>
    <w:rsid w:val="3A091644"/>
    <w:rsid w:val="3A2D6380"/>
    <w:rsid w:val="3A2E6000"/>
    <w:rsid w:val="3A327A7E"/>
    <w:rsid w:val="3A5A39CC"/>
    <w:rsid w:val="3A6C080E"/>
    <w:rsid w:val="3A840F8D"/>
    <w:rsid w:val="3A8E6D2A"/>
    <w:rsid w:val="3A976FE1"/>
    <w:rsid w:val="3AA0503A"/>
    <w:rsid w:val="3AEF1B57"/>
    <w:rsid w:val="3B0D3470"/>
    <w:rsid w:val="3B296135"/>
    <w:rsid w:val="3B30272B"/>
    <w:rsid w:val="3B605478"/>
    <w:rsid w:val="3B702D0A"/>
    <w:rsid w:val="3B702D5E"/>
    <w:rsid w:val="3B8B1B40"/>
    <w:rsid w:val="3BA20EF0"/>
    <w:rsid w:val="3BB75E87"/>
    <w:rsid w:val="3BBC230F"/>
    <w:rsid w:val="3BC17A20"/>
    <w:rsid w:val="3BD6093A"/>
    <w:rsid w:val="3BD94DA7"/>
    <w:rsid w:val="3BDB6AF8"/>
    <w:rsid w:val="3BE16CCB"/>
    <w:rsid w:val="3BF24696"/>
    <w:rsid w:val="3BF76926"/>
    <w:rsid w:val="3C077299"/>
    <w:rsid w:val="3C1B51D6"/>
    <w:rsid w:val="3C352ED2"/>
    <w:rsid w:val="3C377099"/>
    <w:rsid w:val="3C587C0F"/>
    <w:rsid w:val="3C5E1B18"/>
    <w:rsid w:val="3C6B33AC"/>
    <w:rsid w:val="3C7103A4"/>
    <w:rsid w:val="3C8464D4"/>
    <w:rsid w:val="3C8577D9"/>
    <w:rsid w:val="3CBA12D7"/>
    <w:rsid w:val="3CBF66BA"/>
    <w:rsid w:val="3CC505C3"/>
    <w:rsid w:val="3CC56AEB"/>
    <w:rsid w:val="3CCB4B07"/>
    <w:rsid w:val="3CDF116D"/>
    <w:rsid w:val="3CF31043"/>
    <w:rsid w:val="3CF5550F"/>
    <w:rsid w:val="3D045D81"/>
    <w:rsid w:val="3D0955CD"/>
    <w:rsid w:val="3D4C17A1"/>
    <w:rsid w:val="3D577B32"/>
    <w:rsid w:val="3D6D242C"/>
    <w:rsid w:val="3D6E7757"/>
    <w:rsid w:val="3D7E79F1"/>
    <w:rsid w:val="3D7F252A"/>
    <w:rsid w:val="3D8B16BA"/>
    <w:rsid w:val="3D910C10"/>
    <w:rsid w:val="3D9129C0"/>
    <w:rsid w:val="3DA42D80"/>
    <w:rsid w:val="3DB21145"/>
    <w:rsid w:val="3DB810A3"/>
    <w:rsid w:val="3DC877EB"/>
    <w:rsid w:val="3DD3111B"/>
    <w:rsid w:val="3E0E185F"/>
    <w:rsid w:val="3E166C6B"/>
    <w:rsid w:val="3E243A02"/>
    <w:rsid w:val="3E3F07D8"/>
    <w:rsid w:val="3E5F4689"/>
    <w:rsid w:val="3EBA63BF"/>
    <w:rsid w:val="3EC724A8"/>
    <w:rsid w:val="3EC7320B"/>
    <w:rsid w:val="3ECC285F"/>
    <w:rsid w:val="3EED5675"/>
    <w:rsid w:val="3EFC6F54"/>
    <w:rsid w:val="3F3106BC"/>
    <w:rsid w:val="3F3570C3"/>
    <w:rsid w:val="3F492FB3"/>
    <w:rsid w:val="3F4B1266"/>
    <w:rsid w:val="3F501D56"/>
    <w:rsid w:val="3F5C6F82"/>
    <w:rsid w:val="3F651E10"/>
    <w:rsid w:val="3F6C7E79"/>
    <w:rsid w:val="3F7B1DB0"/>
    <w:rsid w:val="3F852345"/>
    <w:rsid w:val="3F884A5E"/>
    <w:rsid w:val="3F9049C0"/>
    <w:rsid w:val="3F9625DF"/>
    <w:rsid w:val="3FAF0F8B"/>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FA4E7B"/>
    <w:rsid w:val="40FF1298"/>
    <w:rsid w:val="41321812"/>
    <w:rsid w:val="4137558E"/>
    <w:rsid w:val="41504E33"/>
    <w:rsid w:val="41600151"/>
    <w:rsid w:val="41603818"/>
    <w:rsid w:val="41963419"/>
    <w:rsid w:val="41AF06D0"/>
    <w:rsid w:val="41B53228"/>
    <w:rsid w:val="41BE5467"/>
    <w:rsid w:val="41C60DB3"/>
    <w:rsid w:val="41DB2819"/>
    <w:rsid w:val="41E43129"/>
    <w:rsid w:val="41EE72BB"/>
    <w:rsid w:val="41F149BD"/>
    <w:rsid w:val="422501CE"/>
    <w:rsid w:val="4227255A"/>
    <w:rsid w:val="424F1D91"/>
    <w:rsid w:val="427B248A"/>
    <w:rsid w:val="428D483B"/>
    <w:rsid w:val="42A81C3F"/>
    <w:rsid w:val="42A81EAB"/>
    <w:rsid w:val="42AE05F3"/>
    <w:rsid w:val="42B30BA5"/>
    <w:rsid w:val="42B94223"/>
    <w:rsid w:val="42E5654F"/>
    <w:rsid w:val="42E62A04"/>
    <w:rsid w:val="42EC395B"/>
    <w:rsid w:val="42EC5ED9"/>
    <w:rsid w:val="42F25864"/>
    <w:rsid w:val="42F3528E"/>
    <w:rsid w:val="42FD5DF4"/>
    <w:rsid w:val="430A058D"/>
    <w:rsid w:val="431A67CB"/>
    <w:rsid w:val="43225A5C"/>
    <w:rsid w:val="43254DBA"/>
    <w:rsid w:val="432C162C"/>
    <w:rsid w:val="432F1E46"/>
    <w:rsid w:val="433D7BC4"/>
    <w:rsid w:val="434C0E61"/>
    <w:rsid w:val="43677A21"/>
    <w:rsid w:val="438C571C"/>
    <w:rsid w:val="43993D8E"/>
    <w:rsid w:val="43A01007"/>
    <w:rsid w:val="43BD64CB"/>
    <w:rsid w:val="43E56B7B"/>
    <w:rsid w:val="43F25407"/>
    <w:rsid w:val="44291A08"/>
    <w:rsid w:val="442B6866"/>
    <w:rsid w:val="44364BF7"/>
    <w:rsid w:val="444921CF"/>
    <w:rsid w:val="44495E16"/>
    <w:rsid w:val="44530044"/>
    <w:rsid w:val="44572BAD"/>
    <w:rsid w:val="445D4AB6"/>
    <w:rsid w:val="44711559"/>
    <w:rsid w:val="44775A8D"/>
    <w:rsid w:val="448B4301"/>
    <w:rsid w:val="449700C1"/>
    <w:rsid w:val="449A1098"/>
    <w:rsid w:val="44A845F4"/>
    <w:rsid w:val="44C04B5B"/>
    <w:rsid w:val="44DF4AD3"/>
    <w:rsid w:val="4508006A"/>
    <w:rsid w:val="450E7A28"/>
    <w:rsid w:val="451D2CF0"/>
    <w:rsid w:val="4520206A"/>
    <w:rsid w:val="45222F6C"/>
    <w:rsid w:val="452B420A"/>
    <w:rsid w:val="45302890"/>
    <w:rsid w:val="45310F25"/>
    <w:rsid w:val="453A6A23"/>
    <w:rsid w:val="454702B7"/>
    <w:rsid w:val="45643FA0"/>
    <w:rsid w:val="45796508"/>
    <w:rsid w:val="45803901"/>
    <w:rsid w:val="45806EC3"/>
    <w:rsid w:val="458A5B63"/>
    <w:rsid w:val="458B5528"/>
    <w:rsid w:val="45F303D0"/>
    <w:rsid w:val="4603066A"/>
    <w:rsid w:val="46117980"/>
    <w:rsid w:val="46126F72"/>
    <w:rsid w:val="461B3B13"/>
    <w:rsid w:val="461B5D11"/>
    <w:rsid w:val="461E55A5"/>
    <w:rsid w:val="46323738"/>
    <w:rsid w:val="46477E5A"/>
    <w:rsid w:val="465954EC"/>
    <w:rsid w:val="46686C9E"/>
    <w:rsid w:val="467B4E31"/>
    <w:rsid w:val="468A4F0B"/>
    <w:rsid w:val="469551E9"/>
    <w:rsid w:val="46B65365"/>
    <w:rsid w:val="46BD6B9F"/>
    <w:rsid w:val="46C277A4"/>
    <w:rsid w:val="46CC2197"/>
    <w:rsid w:val="46DD1652"/>
    <w:rsid w:val="46E2577B"/>
    <w:rsid w:val="472F2356"/>
    <w:rsid w:val="47341CB9"/>
    <w:rsid w:val="473964E9"/>
    <w:rsid w:val="47596A1D"/>
    <w:rsid w:val="476C4C8D"/>
    <w:rsid w:val="476E45CC"/>
    <w:rsid w:val="478F75F0"/>
    <w:rsid w:val="47A47D96"/>
    <w:rsid w:val="47A5361A"/>
    <w:rsid w:val="47AE06A6"/>
    <w:rsid w:val="47C05991"/>
    <w:rsid w:val="47CA5A26"/>
    <w:rsid w:val="47D1242C"/>
    <w:rsid w:val="48066B36"/>
    <w:rsid w:val="483713AF"/>
    <w:rsid w:val="48403498"/>
    <w:rsid w:val="48570EBF"/>
    <w:rsid w:val="48624CD1"/>
    <w:rsid w:val="48703FE7"/>
    <w:rsid w:val="487758BD"/>
    <w:rsid w:val="488E5A9B"/>
    <w:rsid w:val="48942F22"/>
    <w:rsid w:val="489453AF"/>
    <w:rsid w:val="489973AA"/>
    <w:rsid w:val="48A26090"/>
    <w:rsid w:val="48AC334A"/>
    <w:rsid w:val="48AE5697"/>
    <w:rsid w:val="48AF1F07"/>
    <w:rsid w:val="48B225B7"/>
    <w:rsid w:val="48B56CDA"/>
    <w:rsid w:val="48B64E60"/>
    <w:rsid w:val="48F12CEE"/>
    <w:rsid w:val="48FC164D"/>
    <w:rsid w:val="4938000E"/>
    <w:rsid w:val="4941303B"/>
    <w:rsid w:val="4943682E"/>
    <w:rsid w:val="495751DE"/>
    <w:rsid w:val="4966759A"/>
    <w:rsid w:val="49740601"/>
    <w:rsid w:val="497D39D4"/>
    <w:rsid w:val="4984282A"/>
    <w:rsid w:val="498558F4"/>
    <w:rsid w:val="499253C3"/>
    <w:rsid w:val="499408C6"/>
    <w:rsid w:val="499424C3"/>
    <w:rsid w:val="49A21DDA"/>
    <w:rsid w:val="49A4619A"/>
    <w:rsid w:val="49A52E30"/>
    <w:rsid w:val="49A572A7"/>
    <w:rsid w:val="49B8045E"/>
    <w:rsid w:val="49BE123B"/>
    <w:rsid w:val="49C1268F"/>
    <w:rsid w:val="49C66B17"/>
    <w:rsid w:val="4A244932"/>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220FD2"/>
    <w:rsid w:val="4B4016F3"/>
    <w:rsid w:val="4B453C14"/>
    <w:rsid w:val="4B471225"/>
    <w:rsid w:val="4B610AB6"/>
    <w:rsid w:val="4B727B1B"/>
    <w:rsid w:val="4B75645A"/>
    <w:rsid w:val="4B917087"/>
    <w:rsid w:val="4BA7702D"/>
    <w:rsid w:val="4BAC0F6C"/>
    <w:rsid w:val="4BB46FD1"/>
    <w:rsid w:val="4BB54D88"/>
    <w:rsid w:val="4BE81A13"/>
    <w:rsid w:val="4C0B1225"/>
    <w:rsid w:val="4C0D01BF"/>
    <w:rsid w:val="4C1031D9"/>
    <w:rsid w:val="4C314875"/>
    <w:rsid w:val="4C742EFD"/>
    <w:rsid w:val="4C750F78"/>
    <w:rsid w:val="4C76605D"/>
    <w:rsid w:val="4C8E5CA5"/>
    <w:rsid w:val="4CB31611"/>
    <w:rsid w:val="4CB6277A"/>
    <w:rsid w:val="4CC84B86"/>
    <w:rsid w:val="4CCD5DE2"/>
    <w:rsid w:val="4CCF7D94"/>
    <w:rsid w:val="4D087FDF"/>
    <w:rsid w:val="4D121D34"/>
    <w:rsid w:val="4D2729A1"/>
    <w:rsid w:val="4D687B25"/>
    <w:rsid w:val="4D7A3398"/>
    <w:rsid w:val="4DA229C6"/>
    <w:rsid w:val="4DA62213"/>
    <w:rsid w:val="4DAA1EDE"/>
    <w:rsid w:val="4DB92EE9"/>
    <w:rsid w:val="4DE72A8A"/>
    <w:rsid w:val="4DED276A"/>
    <w:rsid w:val="4E000105"/>
    <w:rsid w:val="4E1857AC"/>
    <w:rsid w:val="4E2C0EEF"/>
    <w:rsid w:val="4E5B34CB"/>
    <w:rsid w:val="4E5E3D22"/>
    <w:rsid w:val="4E897B66"/>
    <w:rsid w:val="4E8D5D4D"/>
    <w:rsid w:val="4E9563FB"/>
    <w:rsid w:val="4E9D1289"/>
    <w:rsid w:val="4EA90BDD"/>
    <w:rsid w:val="4EC7464B"/>
    <w:rsid w:val="4ECF52DB"/>
    <w:rsid w:val="4EDC45F1"/>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F166B7"/>
    <w:rsid w:val="50342624"/>
    <w:rsid w:val="504A004A"/>
    <w:rsid w:val="5058366F"/>
    <w:rsid w:val="50617C70"/>
    <w:rsid w:val="50651CC9"/>
    <w:rsid w:val="50714687"/>
    <w:rsid w:val="50847496"/>
    <w:rsid w:val="508D0734"/>
    <w:rsid w:val="508F4388"/>
    <w:rsid w:val="509748C6"/>
    <w:rsid w:val="509F1C4F"/>
    <w:rsid w:val="50B8067E"/>
    <w:rsid w:val="50BA3B81"/>
    <w:rsid w:val="50CE6F9F"/>
    <w:rsid w:val="50D643AB"/>
    <w:rsid w:val="50DE7E9D"/>
    <w:rsid w:val="50FA10E8"/>
    <w:rsid w:val="5102202F"/>
    <w:rsid w:val="510F7CBF"/>
    <w:rsid w:val="51191C31"/>
    <w:rsid w:val="513671C8"/>
    <w:rsid w:val="515A2406"/>
    <w:rsid w:val="5173552E"/>
    <w:rsid w:val="51774DB4"/>
    <w:rsid w:val="517A073C"/>
    <w:rsid w:val="517A638F"/>
    <w:rsid w:val="517D50F1"/>
    <w:rsid w:val="518122C6"/>
    <w:rsid w:val="51861FD1"/>
    <w:rsid w:val="518B28F4"/>
    <w:rsid w:val="51BA56A1"/>
    <w:rsid w:val="51C365B2"/>
    <w:rsid w:val="51D51D50"/>
    <w:rsid w:val="51DF265F"/>
    <w:rsid w:val="51EA4273"/>
    <w:rsid w:val="51F45AFC"/>
    <w:rsid w:val="51FF0996"/>
    <w:rsid w:val="522378D0"/>
    <w:rsid w:val="52324668"/>
    <w:rsid w:val="523873B8"/>
    <w:rsid w:val="524A2A16"/>
    <w:rsid w:val="524F3C18"/>
    <w:rsid w:val="525E29B5"/>
    <w:rsid w:val="526712BE"/>
    <w:rsid w:val="52686D40"/>
    <w:rsid w:val="52717D1C"/>
    <w:rsid w:val="52753E57"/>
    <w:rsid w:val="528A181C"/>
    <w:rsid w:val="52B95845"/>
    <w:rsid w:val="52C20E6D"/>
    <w:rsid w:val="52C36155"/>
    <w:rsid w:val="52CD3145"/>
    <w:rsid w:val="52D576F4"/>
    <w:rsid w:val="52E01986"/>
    <w:rsid w:val="52EF249C"/>
    <w:rsid w:val="52F11223"/>
    <w:rsid w:val="52FF50A3"/>
    <w:rsid w:val="531E1B16"/>
    <w:rsid w:val="535321C1"/>
    <w:rsid w:val="535B7AFB"/>
    <w:rsid w:val="535C08D2"/>
    <w:rsid w:val="536F52F6"/>
    <w:rsid w:val="53844015"/>
    <w:rsid w:val="53986FA7"/>
    <w:rsid w:val="53A23138"/>
    <w:rsid w:val="53C127F5"/>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45582"/>
    <w:rsid w:val="549A5874"/>
    <w:rsid w:val="54C12E33"/>
    <w:rsid w:val="54C620A2"/>
    <w:rsid w:val="54C77B24"/>
    <w:rsid w:val="54C923B1"/>
    <w:rsid w:val="54D526BD"/>
    <w:rsid w:val="54DC4246"/>
    <w:rsid w:val="54E164CF"/>
    <w:rsid w:val="54EC526B"/>
    <w:rsid w:val="55031F07"/>
    <w:rsid w:val="550F5D1A"/>
    <w:rsid w:val="551054EB"/>
    <w:rsid w:val="551321A2"/>
    <w:rsid w:val="5526593F"/>
    <w:rsid w:val="553C3366"/>
    <w:rsid w:val="55785749"/>
    <w:rsid w:val="557A6439"/>
    <w:rsid w:val="558A5663"/>
    <w:rsid w:val="559B138A"/>
    <w:rsid w:val="55A35452"/>
    <w:rsid w:val="55A4620D"/>
    <w:rsid w:val="55BF4839"/>
    <w:rsid w:val="55C05B3D"/>
    <w:rsid w:val="55CB3AB4"/>
    <w:rsid w:val="55E404D5"/>
    <w:rsid w:val="55E8347F"/>
    <w:rsid w:val="55EB2205"/>
    <w:rsid w:val="55F73A99"/>
    <w:rsid w:val="55FA4A1E"/>
    <w:rsid w:val="56054FAD"/>
    <w:rsid w:val="560A4E69"/>
    <w:rsid w:val="56132672"/>
    <w:rsid w:val="56183FCE"/>
    <w:rsid w:val="561847B5"/>
    <w:rsid w:val="561F5B57"/>
    <w:rsid w:val="562532E3"/>
    <w:rsid w:val="56414D1D"/>
    <w:rsid w:val="56485B92"/>
    <w:rsid w:val="564E44A8"/>
    <w:rsid w:val="566D14D9"/>
    <w:rsid w:val="56707EE0"/>
    <w:rsid w:val="56746747"/>
    <w:rsid w:val="5696045B"/>
    <w:rsid w:val="56986EF0"/>
    <w:rsid w:val="569B0ED4"/>
    <w:rsid w:val="56AD7D44"/>
    <w:rsid w:val="56B62BD2"/>
    <w:rsid w:val="56B6720F"/>
    <w:rsid w:val="56CB3A71"/>
    <w:rsid w:val="56CE33F3"/>
    <w:rsid w:val="56E5461B"/>
    <w:rsid w:val="56E865F9"/>
    <w:rsid w:val="56FA4774"/>
    <w:rsid w:val="57101FE7"/>
    <w:rsid w:val="571F0F7D"/>
    <w:rsid w:val="57420238"/>
    <w:rsid w:val="575514CD"/>
    <w:rsid w:val="57566604"/>
    <w:rsid w:val="57577640"/>
    <w:rsid w:val="575A1224"/>
    <w:rsid w:val="57990C47"/>
    <w:rsid w:val="579A66C8"/>
    <w:rsid w:val="579D086E"/>
    <w:rsid w:val="57B12A6A"/>
    <w:rsid w:val="57D807E3"/>
    <w:rsid w:val="57F13854"/>
    <w:rsid w:val="57F2070E"/>
    <w:rsid w:val="57F21DC7"/>
    <w:rsid w:val="57F55ADD"/>
    <w:rsid w:val="57FB4B7C"/>
    <w:rsid w:val="57FC2EEA"/>
    <w:rsid w:val="58021570"/>
    <w:rsid w:val="58036524"/>
    <w:rsid w:val="580C5702"/>
    <w:rsid w:val="583270F4"/>
    <w:rsid w:val="58500EC9"/>
    <w:rsid w:val="58530075"/>
    <w:rsid w:val="586E14BF"/>
    <w:rsid w:val="586E66A0"/>
    <w:rsid w:val="588F186B"/>
    <w:rsid w:val="5898018C"/>
    <w:rsid w:val="58AD748A"/>
    <w:rsid w:val="58AD7D6B"/>
    <w:rsid w:val="58CE79BF"/>
    <w:rsid w:val="58D64D71"/>
    <w:rsid w:val="58E950C4"/>
    <w:rsid w:val="58E96B07"/>
    <w:rsid w:val="58FC2A8C"/>
    <w:rsid w:val="58FF6F73"/>
    <w:rsid w:val="591539B6"/>
    <w:rsid w:val="593773EE"/>
    <w:rsid w:val="595B14B9"/>
    <w:rsid w:val="598E457A"/>
    <w:rsid w:val="599F5B19"/>
    <w:rsid w:val="59B73AE9"/>
    <w:rsid w:val="59C60849"/>
    <w:rsid w:val="59C759D8"/>
    <w:rsid w:val="5A422436"/>
    <w:rsid w:val="5A425322"/>
    <w:rsid w:val="5A4336AF"/>
    <w:rsid w:val="5A4562A7"/>
    <w:rsid w:val="5A561DC4"/>
    <w:rsid w:val="5A6048D2"/>
    <w:rsid w:val="5A687BD7"/>
    <w:rsid w:val="5A6E4BA3"/>
    <w:rsid w:val="5A832FB0"/>
    <w:rsid w:val="5A8C449C"/>
    <w:rsid w:val="5AAD0254"/>
    <w:rsid w:val="5AB85494"/>
    <w:rsid w:val="5ABC3E58"/>
    <w:rsid w:val="5AC13672"/>
    <w:rsid w:val="5AC46D23"/>
    <w:rsid w:val="5AC5149C"/>
    <w:rsid w:val="5ACF2987"/>
    <w:rsid w:val="5AD03C8C"/>
    <w:rsid w:val="5AE625AD"/>
    <w:rsid w:val="5AF023E5"/>
    <w:rsid w:val="5B0950EB"/>
    <w:rsid w:val="5B184080"/>
    <w:rsid w:val="5B204AB2"/>
    <w:rsid w:val="5B375F05"/>
    <w:rsid w:val="5B397E38"/>
    <w:rsid w:val="5B584E6A"/>
    <w:rsid w:val="5B6F279D"/>
    <w:rsid w:val="5B75006E"/>
    <w:rsid w:val="5B8D78C2"/>
    <w:rsid w:val="5B8E7542"/>
    <w:rsid w:val="5B975C54"/>
    <w:rsid w:val="5BEC78DC"/>
    <w:rsid w:val="5C0813BB"/>
    <w:rsid w:val="5C1839E9"/>
    <w:rsid w:val="5C2432B9"/>
    <w:rsid w:val="5C472574"/>
    <w:rsid w:val="5C603298"/>
    <w:rsid w:val="5C603B63"/>
    <w:rsid w:val="5C775D72"/>
    <w:rsid w:val="5C840D54"/>
    <w:rsid w:val="5C9A495D"/>
    <w:rsid w:val="5CAC1F18"/>
    <w:rsid w:val="5CB07B2C"/>
    <w:rsid w:val="5CB97030"/>
    <w:rsid w:val="5CC93A47"/>
    <w:rsid w:val="5CE31FB3"/>
    <w:rsid w:val="5CF94596"/>
    <w:rsid w:val="5CFC551B"/>
    <w:rsid w:val="5D080D69"/>
    <w:rsid w:val="5D1041BB"/>
    <w:rsid w:val="5D25037A"/>
    <w:rsid w:val="5D3D5F7F"/>
    <w:rsid w:val="5D6022E2"/>
    <w:rsid w:val="5D664BCA"/>
    <w:rsid w:val="5D702D81"/>
    <w:rsid w:val="5D7054D9"/>
    <w:rsid w:val="5D7F7DCC"/>
    <w:rsid w:val="5D8F6F3F"/>
    <w:rsid w:val="5D923490"/>
    <w:rsid w:val="5D9B663A"/>
    <w:rsid w:val="5DA80EB7"/>
    <w:rsid w:val="5DAB7F4D"/>
    <w:rsid w:val="5DB96BD3"/>
    <w:rsid w:val="5DC374E2"/>
    <w:rsid w:val="5DD64266"/>
    <w:rsid w:val="5DEA7F80"/>
    <w:rsid w:val="5DF012AB"/>
    <w:rsid w:val="5DF16D2C"/>
    <w:rsid w:val="5DF80BD1"/>
    <w:rsid w:val="5E0F1B60"/>
    <w:rsid w:val="5E103D5E"/>
    <w:rsid w:val="5E4C6141"/>
    <w:rsid w:val="5E4E1644"/>
    <w:rsid w:val="5E567D56"/>
    <w:rsid w:val="5E5830B6"/>
    <w:rsid w:val="5E666CEB"/>
    <w:rsid w:val="5E6956F1"/>
    <w:rsid w:val="5E7227F1"/>
    <w:rsid w:val="5E7C4D96"/>
    <w:rsid w:val="5E9033B3"/>
    <w:rsid w:val="5EA63358"/>
    <w:rsid w:val="5EB32F43"/>
    <w:rsid w:val="5EC110C5"/>
    <w:rsid w:val="5ECA6000"/>
    <w:rsid w:val="5EDD34B2"/>
    <w:rsid w:val="5EE15B23"/>
    <w:rsid w:val="5F1E4324"/>
    <w:rsid w:val="5F20157D"/>
    <w:rsid w:val="5F2538A6"/>
    <w:rsid w:val="5F3336C1"/>
    <w:rsid w:val="5F3E0096"/>
    <w:rsid w:val="5F58537A"/>
    <w:rsid w:val="5F7B20B7"/>
    <w:rsid w:val="5F7F1523"/>
    <w:rsid w:val="5F8D2114"/>
    <w:rsid w:val="5F946831"/>
    <w:rsid w:val="5FA06000"/>
    <w:rsid w:val="5FA34174"/>
    <w:rsid w:val="5FC16FA8"/>
    <w:rsid w:val="5FCC5339"/>
    <w:rsid w:val="5FEB2E4C"/>
    <w:rsid w:val="5FF40A7C"/>
    <w:rsid w:val="5FFF488E"/>
    <w:rsid w:val="60017D91"/>
    <w:rsid w:val="601C4286"/>
    <w:rsid w:val="60263108"/>
    <w:rsid w:val="60503394"/>
    <w:rsid w:val="60642034"/>
    <w:rsid w:val="606737AA"/>
    <w:rsid w:val="60746A4B"/>
    <w:rsid w:val="607B41D8"/>
    <w:rsid w:val="60875A6C"/>
    <w:rsid w:val="60D17B2C"/>
    <w:rsid w:val="60E73525"/>
    <w:rsid w:val="61161572"/>
    <w:rsid w:val="611B04DE"/>
    <w:rsid w:val="6122664B"/>
    <w:rsid w:val="61341408"/>
    <w:rsid w:val="617F691E"/>
    <w:rsid w:val="61A82D2B"/>
    <w:rsid w:val="61A907DA"/>
    <w:rsid w:val="61B81661"/>
    <w:rsid w:val="61BE4069"/>
    <w:rsid w:val="61C21F70"/>
    <w:rsid w:val="61CB5D59"/>
    <w:rsid w:val="61D502AC"/>
    <w:rsid w:val="61DF37DA"/>
    <w:rsid w:val="61E437AA"/>
    <w:rsid w:val="61F20541"/>
    <w:rsid w:val="61FC0E51"/>
    <w:rsid w:val="61FF3FD4"/>
    <w:rsid w:val="62382C58"/>
    <w:rsid w:val="62442C99"/>
    <w:rsid w:val="625957CD"/>
    <w:rsid w:val="62A455BE"/>
    <w:rsid w:val="62BC56E3"/>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C76ED9"/>
    <w:rsid w:val="63E22599"/>
    <w:rsid w:val="63E31B13"/>
    <w:rsid w:val="63F1289C"/>
    <w:rsid w:val="63FA2E95"/>
    <w:rsid w:val="63FC3E19"/>
    <w:rsid w:val="642A546F"/>
    <w:rsid w:val="64373BD6"/>
    <w:rsid w:val="644C405D"/>
    <w:rsid w:val="64780B28"/>
    <w:rsid w:val="64801EA9"/>
    <w:rsid w:val="648E5907"/>
    <w:rsid w:val="64B0665A"/>
    <w:rsid w:val="64BB2F53"/>
    <w:rsid w:val="64DA19E7"/>
    <w:rsid w:val="64EE2ED3"/>
    <w:rsid w:val="651C4271"/>
    <w:rsid w:val="652860DA"/>
    <w:rsid w:val="65680AED"/>
    <w:rsid w:val="656C52F5"/>
    <w:rsid w:val="65B87C60"/>
    <w:rsid w:val="65CC54F7"/>
    <w:rsid w:val="65D41E5E"/>
    <w:rsid w:val="65DA25C0"/>
    <w:rsid w:val="65F913CA"/>
    <w:rsid w:val="66075173"/>
    <w:rsid w:val="660A60F8"/>
    <w:rsid w:val="6618760C"/>
    <w:rsid w:val="661D1895"/>
    <w:rsid w:val="661D3BC6"/>
    <w:rsid w:val="661E7317"/>
    <w:rsid w:val="6626064F"/>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4616C"/>
    <w:rsid w:val="66E4385D"/>
    <w:rsid w:val="66F51579"/>
    <w:rsid w:val="67050362"/>
    <w:rsid w:val="67107BA4"/>
    <w:rsid w:val="67130914"/>
    <w:rsid w:val="67244646"/>
    <w:rsid w:val="67290ACE"/>
    <w:rsid w:val="672E29D7"/>
    <w:rsid w:val="67477A69"/>
    <w:rsid w:val="6748045A"/>
    <w:rsid w:val="676C0F5B"/>
    <w:rsid w:val="677E01D8"/>
    <w:rsid w:val="67806F5E"/>
    <w:rsid w:val="678A2D79"/>
    <w:rsid w:val="678A3FEA"/>
    <w:rsid w:val="678F5EF4"/>
    <w:rsid w:val="67A01A11"/>
    <w:rsid w:val="67A42616"/>
    <w:rsid w:val="67B44AC0"/>
    <w:rsid w:val="67BF400C"/>
    <w:rsid w:val="67D5446A"/>
    <w:rsid w:val="68012776"/>
    <w:rsid w:val="680613B6"/>
    <w:rsid w:val="68073EC9"/>
    <w:rsid w:val="68161650"/>
    <w:rsid w:val="6836320A"/>
    <w:rsid w:val="685A74FE"/>
    <w:rsid w:val="68623CCE"/>
    <w:rsid w:val="686D205F"/>
    <w:rsid w:val="688B22BE"/>
    <w:rsid w:val="68913EF5"/>
    <w:rsid w:val="68A128B9"/>
    <w:rsid w:val="68BB7B14"/>
    <w:rsid w:val="68E1201D"/>
    <w:rsid w:val="68F128DF"/>
    <w:rsid w:val="69185AD5"/>
    <w:rsid w:val="692F7B9E"/>
    <w:rsid w:val="694A3FCB"/>
    <w:rsid w:val="696403F8"/>
    <w:rsid w:val="698606C5"/>
    <w:rsid w:val="69927C43"/>
    <w:rsid w:val="699A657E"/>
    <w:rsid w:val="69A418AD"/>
    <w:rsid w:val="69CE2026"/>
    <w:rsid w:val="69D22FB6"/>
    <w:rsid w:val="69DF7D42"/>
    <w:rsid w:val="69E63E4A"/>
    <w:rsid w:val="6A00327F"/>
    <w:rsid w:val="6A03709F"/>
    <w:rsid w:val="6A071E00"/>
    <w:rsid w:val="6A18346E"/>
    <w:rsid w:val="6A1A0E21"/>
    <w:rsid w:val="6A301273"/>
    <w:rsid w:val="6A34524E"/>
    <w:rsid w:val="6A4C0737"/>
    <w:rsid w:val="6A6E2F51"/>
    <w:rsid w:val="6A790E3A"/>
    <w:rsid w:val="6A89358A"/>
    <w:rsid w:val="6A921170"/>
    <w:rsid w:val="6A9E35F8"/>
    <w:rsid w:val="6AA64288"/>
    <w:rsid w:val="6AAD28D9"/>
    <w:rsid w:val="6AB60C9F"/>
    <w:rsid w:val="6ABD60AB"/>
    <w:rsid w:val="6ABE3E1C"/>
    <w:rsid w:val="6AC27518"/>
    <w:rsid w:val="6AC56D3B"/>
    <w:rsid w:val="6AC7223E"/>
    <w:rsid w:val="6AE517EE"/>
    <w:rsid w:val="6B02197F"/>
    <w:rsid w:val="6B1348BC"/>
    <w:rsid w:val="6B1C3EC6"/>
    <w:rsid w:val="6B20701A"/>
    <w:rsid w:val="6B2B671B"/>
    <w:rsid w:val="6B2C4161"/>
    <w:rsid w:val="6B35519C"/>
    <w:rsid w:val="6B4B4A16"/>
    <w:rsid w:val="6B5E7FD8"/>
    <w:rsid w:val="6B7C0A68"/>
    <w:rsid w:val="6B8D2CCB"/>
    <w:rsid w:val="6B9879EF"/>
    <w:rsid w:val="6B9C7C98"/>
    <w:rsid w:val="6BAC37B5"/>
    <w:rsid w:val="6BB875C8"/>
    <w:rsid w:val="6BC85664"/>
    <w:rsid w:val="6BE61BF1"/>
    <w:rsid w:val="6BFD22BB"/>
    <w:rsid w:val="6C39469E"/>
    <w:rsid w:val="6C397FC7"/>
    <w:rsid w:val="6C4504B1"/>
    <w:rsid w:val="6C4B3E20"/>
    <w:rsid w:val="6CD81C1E"/>
    <w:rsid w:val="6CE77CBA"/>
    <w:rsid w:val="6CE978CE"/>
    <w:rsid w:val="6CEB66C0"/>
    <w:rsid w:val="6CF62C08"/>
    <w:rsid w:val="6CF74EF3"/>
    <w:rsid w:val="6D006926"/>
    <w:rsid w:val="6D07743F"/>
    <w:rsid w:val="6D1632C9"/>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C7127D"/>
    <w:rsid w:val="6E146A14"/>
    <w:rsid w:val="6E1C4834"/>
    <w:rsid w:val="6E232EF1"/>
    <w:rsid w:val="6E360C61"/>
    <w:rsid w:val="6E3B14E9"/>
    <w:rsid w:val="6E50180B"/>
    <w:rsid w:val="6E610B30"/>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A6A7D"/>
    <w:rsid w:val="6EF41A00"/>
    <w:rsid w:val="6EFD1AEA"/>
    <w:rsid w:val="6EFF7B84"/>
    <w:rsid w:val="6F12372D"/>
    <w:rsid w:val="6F165D50"/>
    <w:rsid w:val="6F2B6BEF"/>
    <w:rsid w:val="6F345300"/>
    <w:rsid w:val="6F415AE1"/>
    <w:rsid w:val="6F642E31"/>
    <w:rsid w:val="6F747B9C"/>
    <w:rsid w:val="6F7F1EFD"/>
    <w:rsid w:val="6F89280C"/>
    <w:rsid w:val="6F904BDE"/>
    <w:rsid w:val="6F9D14AD"/>
    <w:rsid w:val="6FA21C45"/>
    <w:rsid w:val="6FBD0389"/>
    <w:rsid w:val="70057BD7"/>
    <w:rsid w:val="700F26E5"/>
    <w:rsid w:val="702F4F3F"/>
    <w:rsid w:val="70481945"/>
    <w:rsid w:val="705047D3"/>
    <w:rsid w:val="70586A83"/>
    <w:rsid w:val="70670B75"/>
    <w:rsid w:val="70774962"/>
    <w:rsid w:val="70814FA2"/>
    <w:rsid w:val="70831BA5"/>
    <w:rsid w:val="708E6837"/>
    <w:rsid w:val="709177BB"/>
    <w:rsid w:val="70921A10"/>
    <w:rsid w:val="70B51F79"/>
    <w:rsid w:val="70BD3B02"/>
    <w:rsid w:val="70D04FAA"/>
    <w:rsid w:val="71085217"/>
    <w:rsid w:val="710D5413"/>
    <w:rsid w:val="712C7C8C"/>
    <w:rsid w:val="713759CB"/>
    <w:rsid w:val="71487ACE"/>
    <w:rsid w:val="716952A0"/>
    <w:rsid w:val="719515E7"/>
    <w:rsid w:val="7197069A"/>
    <w:rsid w:val="7198476A"/>
    <w:rsid w:val="719D2436"/>
    <w:rsid w:val="71B82AA1"/>
    <w:rsid w:val="71C165F4"/>
    <w:rsid w:val="71D2144C"/>
    <w:rsid w:val="71DA42DA"/>
    <w:rsid w:val="71DB64D8"/>
    <w:rsid w:val="71DF4EDF"/>
    <w:rsid w:val="71EF2970"/>
    <w:rsid w:val="71F13EFF"/>
    <w:rsid w:val="71F80007"/>
    <w:rsid w:val="7200722E"/>
    <w:rsid w:val="7209117E"/>
    <w:rsid w:val="720B2963"/>
    <w:rsid w:val="722B1A61"/>
    <w:rsid w:val="72326EE7"/>
    <w:rsid w:val="72357E6C"/>
    <w:rsid w:val="72396872"/>
    <w:rsid w:val="723B55F8"/>
    <w:rsid w:val="72427182"/>
    <w:rsid w:val="72473169"/>
    <w:rsid w:val="72602955"/>
    <w:rsid w:val="727A40E0"/>
    <w:rsid w:val="72834F56"/>
    <w:rsid w:val="72B53C3D"/>
    <w:rsid w:val="72CE3651"/>
    <w:rsid w:val="72E04348"/>
    <w:rsid w:val="73121016"/>
    <w:rsid w:val="73311008"/>
    <w:rsid w:val="733F66FF"/>
    <w:rsid w:val="73402061"/>
    <w:rsid w:val="734F3C9B"/>
    <w:rsid w:val="736E0E6D"/>
    <w:rsid w:val="738E3316"/>
    <w:rsid w:val="73B50BEA"/>
    <w:rsid w:val="73C2417B"/>
    <w:rsid w:val="73CA3785"/>
    <w:rsid w:val="73D24415"/>
    <w:rsid w:val="73DA5F72"/>
    <w:rsid w:val="73ED2A40"/>
    <w:rsid w:val="743A1D97"/>
    <w:rsid w:val="7455116B"/>
    <w:rsid w:val="745F6C7C"/>
    <w:rsid w:val="7462384E"/>
    <w:rsid w:val="74653984"/>
    <w:rsid w:val="74852401"/>
    <w:rsid w:val="74A55024"/>
    <w:rsid w:val="74A643ED"/>
    <w:rsid w:val="74BF4BC8"/>
    <w:rsid w:val="74D516B9"/>
    <w:rsid w:val="74D85EC1"/>
    <w:rsid w:val="74FC737A"/>
    <w:rsid w:val="750072B4"/>
    <w:rsid w:val="750147B0"/>
    <w:rsid w:val="7510601B"/>
    <w:rsid w:val="751167ED"/>
    <w:rsid w:val="751B03A4"/>
    <w:rsid w:val="75306550"/>
    <w:rsid w:val="754610E8"/>
    <w:rsid w:val="75614B20"/>
    <w:rsid w:val="7583635A"/>
    <w:rsid w:val="75881353"/>
    <w:rsid w:val="75982A7C"/>
    <w:rsid w:val="759A052B"/>
    <w:rsid w:val="75A265C8"/>
    <w:rsid w:val="75B9645D"/>
    <w:rsid w:val="75D315DC"/>
    <w:rsid w:val="75D805B1"/>
    <w:rsid w:val="75E011BB"/>
    <w:rsid w:val="75E24D25"/>
    <w:rsid w:val="75EC4704"/>
    <w:rsid w:val="76005923"/>
    <w:rsid w:val="76032374"/>
    <w:rsid w:val="76396D82"/>
    <w:rsid w:val="76454642"/>
    <w:rsid w:val="766B7857"/>
    <w:rsid w:val="76732C9D"/>
    <w:rsid w:val="768177C2"/>
    <w:rsid w:val="76921E95"/>
    <w:rsid w:val="769F2D64"/>
    <w:rsid w:val="76A46677"/>
    <w:rsid w:val="76B047D8"/>
    <w:rsid w:val="76BF0DED"/>
    <w:rsid w:val="76CB6DA4"/>
    <w:rsid w:val="76DB1E0E"/>
    <w:rsid w:val="76FB26C3"/>
    <w:rsid w:val="770F3562"/>
    <w:rsid w:val="77131D70"/>
    <w:rsid w:val="771D33A0"/>
    <w:rsid w:val="7728018A"/>
    <w:rsid w:val="7732281D"/>
    <w:rsid w:val="77480F82"/>
    <w:rsid w:val="77492442"/>
    <w:rsid w:val="77532D52"/>
    <w:rsid w:val="775B39E2"/>
    <w:rsid w:val="776D38FC"/>
    <w:rsid w:val="777F291C"/>
    <w:rsid w:val="77854826"/>
    <w:rsid w:val="778622E6"/>
    <w:rsid w:val="778F795D"/>
    <w:rsid w:val="77A8025E"/>
    <w:rsid w:val="77C13386"/>
    <w:rsid w:val="77D20E91"/>
    <w:rsid w:val="77E524BA"/>
    <w:rsid w:val="77F96D63"/>
    <w:rsid w:val="7805161F"/>
    <w:rsid w:val="78505C50"/>
    <w:rsid w:val="78927531"/>
    <w:rsid w:val="78952465"/>
    <w:rsid w:val="78A00CED"/>
    <w:rsid w:val="78A56E7C"/>
    <w:rsid w:val="78BB3E42"/>
    <w:rsid w:val="78D366C6"/>
    <w:rsid w:val="78EA1B6E"/>
    <w:rsid w:val="78F114F9"/>
    <w:rsid w:val="791A26BE"/>
    <w:rsid w:val="792D03E3"/>
    <w:rsid w:val="793A6D58"/>
    <w:rsid w:val="794B1971"/>
    <w:rsid w:val="7961146B"/>
    <w:rsid w:val="797265CF"/>
    <w:rsid w:val="797307CE"/>
    <w:rsid w:val="79815591"/>
    <w:rsid w:val="79831703"/>
    <w:rsid w:val="798B53DB"/>
    <w:rsid w:val="79C23DD0"/>
    <w:rsid w:val="79C248BF"/>
    <w:rsid w:val="79E6728C"/>
    <w:rsid w:val="79EE5F19"/>
    <w:rsid w:val="79FB1704"/>
    <w:rsid w:val="7A0F1AE7"/>
    <w:rsid w:val="7A16126F"/>
    <w:rsid w:val="7A1B688D"/>
    <w:rsid w:val="7A29287B"/>
    <w:rsid w:val="7A3C5C98"/>
    <w:rsid w:val="7A40455E"/>
    <w:rsid w:val="7A417F22"/>
    <w:rsid w:val="7A430EA6"/>
    <w:rsid w:val="7A442306"/>
    <w:rsid w:val="7A6359F5"/>
    <w:rsid w:val="7A6C09E6"/>
    <w:rsid w:val="7A78007C"/>
    <w:rsid w:val="7A83640D"/>
    <w:rsid w:val="7A941198"/>
    <w:rsid w:val="7ACF3E92"/>
    <w:rsid w:val="7AD52994"/>
    <w:rsid w:val="7AE3772B"/>
    <w:rsid w:val="7B0F2A7C"/>
    <w:rsid w:val="7B264797"/>
    <w:rsid w:val="7B315C9C"/>
    <w:rsid w:val="7B346230"/>
    <w:rsid w:val="7B3C363D"/>
    <w:rsid w:val="7B4F485C"/>
    <w:rsid w:val="7B585E3C"/>
    <w:rsid w:val="7B5A558A"/>
    <w:rsid w:val="7B5D15F3"/>
    <w:rsid w:val="7B680137"/>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E26B44"/>
    <w:rsid w:val="7CF11A09"/>
    <w:rsid w:val="7CF15B8F"/>
    <w:rsid w:val="7CF65E91"/>
    <w:rsid w:val="7CFB782D"/>
    <w:rsid w:val="7D1D3B52"/>
    <w:rsid w:val="7D225A5C"/>
    <w:rsid w:val="7D291173"/>
    <w:rsid w:val="7D2D0BE9"/>
    <w:rsid w:val="7D314F01"/>
    <w:rsid w:val="7D484DFD"/>
    <w:rsid w:val="7D4F649D"/>
    <w:rsid w:val="7D551EE0"/>
    <w:rsid w:val="7D564C1D"/>
    <w:rsid w:val="7DBE6432"/>
    <w:rsid w:val="7DC06BDF"/>
    <w:rsid w:val="7DC616C1"/>
    <w:rsid w:val="7DD2457A"/>
    <w:rsid w:val="7DD47BB5"/>
    <w:rsid w:val="7DEA429D"/>
    <w:rsid w:val="7DF969B8"/>
    <w:rsid w:val="7E2C3018"/>
    <w:rsid w:val="7E395DC3"/>
    <w:rsid w:val="7E3E74AD"/>
    <w:rsid w:val="7E4876D0"/>
    <w:rsid w:val="7E5512D0"/>
    <w:rsid w:val="7E582255"/>
    <w:rsid w:val="7E631894"/>
    <w:rsid w:val="7E6B1276"/>
    <w:rsid w:val="7EA02EFE"/>
    <w:rsid w:val="7EA36E51"/>
    <w:rsid w:val="7EB738F3"/>
    <w:rsid w:val="7ED60925"/>
    <w:rsid w:val="7ED75578"/>
    <w:rsid w:val="7EDB4DAD"/>
    <w:rsid w:val="7EE131E6"/>
    <w:rsid w:val="7EF533D8"/>
    <w:rsid w:val="7F0D0A7F"/>
    <w:rsid w:val="7F151C89"/>
    <w:rsid w:val="7F220E27"/>
    <w:rsid w:val="7F552A7C"/>
    <w:rsid w:val="7F672412"/>
    <w:rsid w:val="7F7E58BB"/>
    <w:rsid w:val="7F8E00D4"/>
    <w:rsid w:val="7FA96067"/>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99"/>
    <w:rPr>
      <w:color w:val="0000FF"/>
      <w:u w:val="single"/>
    </w:rPr>
  </w:style>
  <w:style w:type="paragraph" w:customStyle="1" w:styleId="2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6">
    <w:name w:val="List Paragraph"/>
    <w:basedOn w:val="1"/>
    <w:qFormat/>
    <w:uiPriority w:val="34"/>
    <w:pPr>
      <w:spacing w:after="0"/>
      <w:ind w:left="840" w:leftChars="400" w:hanging="1440"/>
    </w:pPr>
    <w:rPr>
      <w:rFonts w:ascii="Times" w:hAnsi="Times" w:eastAsia="Batang"/>
      <w:szCs w:val="24"/>
    </w:rPr>
  </w:style>
  <w:style w:type="table" w:customStyle="1" w:styleId="27">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99"/>
    <w:pPr>
      <w:keepNext/>
      <w:keepLines/>
      <w:spacing w:after="0"/>
    </w:pPr>
    <w:rPr>
      <w:rFonts w:ascii="Arial" w:hAnsi="Arial"/>
      <w:sz w:val="18"/>
    </w:rPr>
  </w:style>
  <w:style w:type="paragraph" w:customStyle="1" w:styleId="32">
    <w:name w:val="B1"/>
    <w:basedOn w:val="15"/>
    <w:qFormat/>
    <w:uiPriority w:val="0"/>
    <w:pPr>
      <w:ind w:left="568" w:hanging="284"/>
    </w:pPr>
  </w:style>
  <w:style w:type="paragraph" w:customStyle="1" w:styleId="33">
    <w:name w:val="EQ"/>
    <w:basedOn w:val="1"/>
    <w:next w:val="1"/>
    <w:qFormat/>
    <w:uiPriority w:val="0"/>
    <w:pPr>
      <w:keepLines/>
      <w:tabs>
        <w:tab w:val="center" w:pos="4536"/>
        <w:tab w:val="right" w:pos="9072"/>
      </w:tabs>
    </w:pPr>
  </w:style>
  <w:style w:type="paragraph" w:customStyle="1" w:styleId="34">
    <w:name w:val="B2"/>
    <w:basedOn w:val="14"/>
    <w:qFormat/>
    <w:uiPriority w:val="0"/>
  </w:style>
  <w:style w:type="paragraph" w:customStyle="1" w:styleId="35">
    <w:name w:val="NO"/>
    <w:basedOn w:val="1"/>
    <w:qFormat/>
    <w:uiPriority w:val="0"/>
    <w:pPr>
      <w:keepLines/>
      <w:ind w:left="1135" w:hanging="851"/>
    </w:pPr>
  </w:style>
  <w:style w:type="character" w:customStyle="1" w:styleId="36">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8">
    <w:name w:val="B4"/>
    <w:basedOn w:val="1"/>
    <w:qFormat/>
    <w:uiPriority w:val="0"/>
    <w:pPr>
      <w:ind w:left="1418" w:hanging="284"/>
    </w:pPr>
  </w:style>
  <w:style w:type="paragraph" w:customStyle="1" w:styleId="39">
    <w:name w:val="B5"/>
    <w:basedOn w:val="1"/>
    <w:qFormat/>
    <w:uiPriority w:val="0"/>
    <w:pPr>
      <w:ind w:left="1702" w:hanging="284"/>
    </w:pPr>
  </w:style>
  <w:style w:type="paragraph" w:customStyle="1" w:styleId="40">
    <w:name w:val="B3"/>
    <w:basedOn w:val="1"/>
    <w:qFormat/>
    <w:uiPriority w:val="0"/>
    <w:pPr>
      <w:ind w:left="1135" w:hanging="284"/>
    </w:pPr>
  </w:style>
  <w:style w:type="paragraph" w:customStyle="1" w:styleId="41">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2">
    <w:name w:val="List Paragraph1"/>
    <w:basedOn w:val="1"/>
    <w:qFormat/>
    <w:uiPriority w:val="0"/>
    <w:pPr>
      <w:ind w:left="840" w:leftChars="400"/>
    </w:pPr>
    <w:rPr>
      <w:lang w:eastAsia="zh-CN"/>
    </w:rPr>
  </w:style>
  <w:style w:type="paragraph" w:styleId="43">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4">
    <w:name w:val="列表段落1"/>
    <w:basedOn w:val="1"/>
    <w:qFormat/>
    <w:uiPriority w:val="34"/>
    <w:pPr>
      <w:ind w:left="840" w:leftChars="400"/>
    </w:pPr>
    <w:rPr>
      <w:lang w:eastAsia="zh-CN"/>
    </w:rPr>
  </w:style>
  <w:style w:type="paragraph" w:customStyle="1" w:styleId="45">
    <w:name w:val="Proposal"/>
    <w:basedOn w:val="13"/>
    <w:qFormat/>
    <w:uiPriority w:val="0"/>
    <w:pPr>
      <w:numPr>
        <w:ilvl w:val="0"/>
        <w:numId w:val="2"/>
      </w:numPr>
      <w:tabs>
        <w:tab w:val="left" w:pos="1701"/>
      </w:tabs>
    </w:pPr>
    <w:rPr>
      <w:b/>
      <w:bCs/>
    </w:rPr>
  </w:style>
  <w:style w:type="paragraph" w:customStyle="1" w:styleId="46">
    <w:name w:val="TAN"/>
    <w:basedOn w:val="31"/>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2603</Words>
  <Characters>12518</Characters>
  <Lines>0</Lines>
  <Paragraphs>0</Paragraphs>
  <TotalTime>3</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2025-08-13T06:06:27Z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